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pPr w:horzAnchor="page" w:tblpX="8686" w:tblpY="331" w:vertAnchor="page"/>
        <w:tblW w:type="auto" w:w="0"/>
        <w:tblLayout w:type="fixed"/>
        <w:tblCellMar>
          <w:left w:type="dxa" w:w="0"/>
          <w:right w:type="dxa" w:w="0"/>
        </w:tblCellMar>
      </w:tblPr>
      <w:tblGrid>
        <w:gridCol w:w="1581"/>
      </w:tblGrid>
      <w:tr>
        <w:trPr>
          <w:trHeight w:hRule="atLeast" w:val="454"/>
        </w:trPr>
        <w:tc>
          <w:tcPr>
            <w:tcW w:type="dxa" w:w="1581"/>
            <w:tcMar>
              <w:left w:type="dxa" w:w="0"/>
              <w:right w:type="dxa" w:w="0"/>
            </w:tcMar>
          </w:tcPr>
          <w:p w14:paraId="06000000">
            <w:pPr>
              <w:widowControl w:val="1"/>
              <w:spacing w:after="0" w:line="240" w:lineRule="auto"/>
              <w:ind/>
              <w:rPr>
                <w:color w:val="000000"/>
                <w:sz w:val="64"/>
              </w:rPr>
            </w:pPr>
          </w:p>
        </w:tc>
      </w:tr>
    </w:tbl>
    <w:p w14:paraId="07000000">
      <w:pPr>
        <w:widowControl w:val="1"/>
        <w:spacing w:after="0"/>
        <w:ind/>
        <w:jc w:val="right"/>
        <w:rPr>
          <w:rFonts w:ascii="Times New Roman" w:hAnsi="Times New Roman"/>
          <w:b w:val="1"/>
          <w:color w:val="000000"/>
          <w:sz w:val="28"/>
        </w:rPr>
      </w:pPr>
    </w:p>
    <w:p w14:paraId="08000000">
      <w:pPr>
        <w:widowControl w:val="1"/>
        <w:spacing w:after="0"/>
        <w:ind/>
        <w:jc w:val="center"/>
        <w:rPr>
          <w:rFonts w:ascii="Times New Roman" w:hAnsi="Times New Roman"/>
          <w:b w:val="1"/>
          <w:color w:val="000000"/>
          <w:sz w:val="28"/>
          <w:u w:val="none"/>
        </w:rPr>
      </w:pPr>
    </w:p>
    <w:p w14:paraId="09000000">
      <w:pPr>
        <w:widowControl w:val="1"/>
        <w:spacing w:after="0"/>
        <w:ind/>
        <w:jc w:val="center"/>
        <w:rPr>
          <w:rFonts w:ascii="Times New Roman" w:hAnsi="Times New Roman"/>
          <w:b w:val="1"/>
          <w:color w:val="000000"/>
          <w:sz w:val="28"/>
          <w:u w:val="none"/>
        </w:rPr>
      </w:pPr>
      <w:bookmarkStart w:id="3" w:name="sub_5003"/>
      <w:bookmarkEnd w:id="3"/>
      <w:r>
        <w:rPr>
          <w:rFonts w:ascii="Times New Roman" w:hAnsi="Times New Roman"/>
          <w:b w:val="1"/>
          <w:color w:val="000000"/>
          <w:sz w:val="28"/>
          <w:highlight w:val="white"/>
        </w:rPr>
        <w:t>Об опасности пала сухой растительности (травы)</w:t>
      </w:r>
    </w:p>
    <w:p w14:paraId="0A000000">
      <w:pPr>
        <w:widowControl w:val="1"/>
        <w:spacing w:after="0" w:before="0" w:line="240" w:lineRule="auto"/>
        <w:ind w:firstLine="709"/>
        <w:jc w:val="both"/>
        <w:rPr>
          <w:rFonts w:ascii="Times New Roman" w:hAnsi="Times New Roman"/>
          <w:color w:val="000000"/>
          <w:sz w:val="28"/>
        </w:rPr>
      </w:pPr>
    </w:p>
    <w:p w14:paraId="0B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Весенние пожары влекут за собой отрицательные последствия,</w:t>
      </w:r>
      <w:r>
        <w:rPr>
          <w:rFonts w:ascii="Times New Roman" w:hAnsi="Times New Roman"/>
          <w:color w:val="000000"/>
          <w:sz w:val="28"/>
        </w:rPr>
        <w:t xml:space="preserve"> как для природы, так и для жизни человека, его имущества. </w:t>
      </w:r>
    </w:p>
    <w:p w14:paraId="0C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 xml:space="preserve">Зачастую палы травы происходят по вине человека. Сухая растительность может легко воспламениться, например, от оставленного без присмотра костра, непотушенной сигареты или брошенной спички. Поджог сухой травы может происходить в разных объемах и повлечь за собой различные по тяжести последствия, в </w:t>
      </w:r>
      <w:r>
        <w:rPr>
          <w:rFonts w:ascii="Times New Roman" w:hAnsi="Times New Roman"/>
          <w:color w:val="000000"/>
          <w:sz w:val="28"/>
        </w:rPr>
        <w:t>связи</w:t>
      </w:r>
      <w:r>
        <w:rPr>
          <w:rFonts w:ascii="Times New Roman" w:hAnsi="Times New Roman"/>
          <w:color w:val="000000"/>
          <w:sz w:val="28"/>
        </w:rPr>
        <w:t xml:space="preserve"> с чем мера ответственности за такие действия определяется всегда в индивидуальном порядке. </w:t>
      </w:r>
    </w:p>
    <w:p w14:paraId="0D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За пал травы в Российской Федерации граждане могут быть привлечены к административной ответственности по статьям 8.32 (нарушение правил пожарной безопасности в лесах) и 20.4 (нарушение требований пожарной безопасности) Кодекса об административных правонарушениях Российской Федерации.</w:t>
      </w:r>
    </w:p>
    <w:p w14:paraId="0E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За уничтожение или повреждение имущества по неосторожности, нарушение требований пожарной безопасности, уничтожение или повреждение лесных насаждений предусмотрена уголовная ответственность по статьям 168, 219 и 261 Уголовного кодекса Российской Федерации.</w:t>
      </w:r>
    </w:p>
    <w:p w14:paraId="0F000000">
      <w:pPr>
        <w:widowControl w:val="1"/>
        <w:spacing w:after="0" w:before="0" w:line="240" w:lineRule="auto"/>
        <w:ind w:firstLine="709"/>
        <w:jc w:val="both"/>
        <w:rPr>
          <w:rFonts w:ascii="Times New Roman" w:hAnsi="Times New Roman"/>
          <w:color w:val="000000"/>
          <w:sz w:val="28"/>
        </w:rPr>
      </w:pPr>
    </w:p>
    <w:p w14:paraId="10000000">
      <w:pPr>
        <w:widowControl w:val="1"/>
        <w:ind/>
        <w:jc w:val="center"/>
        <w:rPr>
          <w:rFonts w:ascii="Times New Roman" w:hAnsi="Times New Roman"/>
          <w:color w:val="000000"/>
          <w:sz w:val="28"/>
        </w:rPr>
      </w:pPr>
      <w:r>
        <w:rPr>
          <w:rFonts w:ascii="Times New Roman" w:hAnsi="Times New Roman"/>
          <w:b w:val="1"/>
          <w:color w:val="000000"/>
          <w:sz w:val="28"/>
          <w:highlight w:val="white"/>
        </w:rPr>
        <w:t>Зачисление на банковскую карту денежных средств от неизвестного лица может свидетельствовать о наличии мошеннических действий</w:t>
      </w:r>
    </w:p>
    <w:p w14:paraId="11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На вашу карту поступили деньги от неизвестного Вам лица, на первый взгляд ничего страшного. Вместе с тем, подобные переводы – серьезный повод для беспокойства. Это одна из схем мошенничества. Через некоторое время вам поступает звонок или сообщение, что человек ошибся с переводом и просит вернуть деньги.</w:t>
      </w:r>
    </w:p>
    <w:p w14:paraId="12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 xml:space="preserve">Так могут действовать мошенники. Эта денежная сумма могла быть похищена у кого-то ими ранее и с помощью перевода от вас они тем самым запутывают следы. </w:t>
      </w:r>
      <w:r>
        <w:rPr>
          <w:rFonts w:ascii="Times New Roman" w:hAnsi="Times New Roman"/>
          <w:color w:val="000000"/>
          <w:sz w:val="28"/>
        </w:rPr>
        <w:t>Получатель</w:t>
      </w:r>
      <w:r>
        <w:rPr>
          <w:rFonts w:ascii="Times New Roman" w:hAnsi="Times New Roman"/>
          <w:color w:val="000000"/>
          <w:sz w:val="28"/>
        </w:rPr>
        <w:t xml:space="preserve"> возвращая перевод на указанную аферистами карту, невольно может стать их соучастником.</w:t>
      </w:r>
    </w:p>
    <w:p w14:paraId="13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Проверьте баланс и убедитесь, что деньги действительно зачислены. Ни в коем случае не тратьте эти деньги и не возвращайте самостоятельно, только через банк. Для этого свяжитесь с вашим банком и следуйте инструкциям их сотрудников.</w:t>
      </w:r>
    </w:p>
    <w:p w14:paraId="14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 xml:space="preserve">Не удаляйте подозрительные сообщения, звонки, </w:t>
      </w:r>
      <w:r>
        <w:rPr>
          <w:rFonts w:ascii="Times New Roman" w:hAnsi="Times New Roman"/>
          <w:color w:val="000000"/>
          <w:sz w:val="28"/>
        </w:rPr>
        <w:t>скриншоты</w:t>
      </w:r>
      <w:r>
        <w:rPr>
          <w:rFonts w:ascii="Times New Roman" w:hAnsi="Times New Roman"/>
          <w:color w:val="000000"/>
          <w:sz w:val="28"/>
        </w:rPr>
        <w:t>. Это может понадобиться при последующем разбирательстве. Будьте внимательны и бдительны.</w:t>
      </w:r>
    </w:p>
    <w:p w14:paraId="15000000">
      <w:pPr>
        <w:widowControl w:val="1"/>
        <w:spacing w:line="632" w:lineRule="atLeast"/>
        <w:ind/>
        <w:rPr>
          <w:rFonts w:ascii="Arial" w:hAnsi="Arial"/>
          <w:b w:val="1"/>
          <w:color w:val="000000"/>
          <w:sz w:val="42"/>
        </w:rPr>
      </w:pPr>
    </w:p>
    <w:p w14:paraId="16000000">
      <w:pPr>
        <w:widowControl w:val="1"/>
        <w:spacing w:line="632" w:lineRule="atLeast"/>
        <w:ind/>
        <w:jc w:val="center"/>
        <w:rPr>
          <w:rFonts w:ascii="Times New Roman" w:hAnsi="Times New Roman"/>
          <w:b w:val="1"/>
          <w:color w:val="000000"/>
          <w:sz w:val="28"/>
        </w:rPr>
      </w:pPr>
      <w:r>
        <w:rPr>
          <w:rFonts w:ascii="Times New Roman" w:hAnsi="Times New Roman"/>
          <w:b w:val="1"/>
          <w:color w:val="000000"/>
          <w:sz w:val="28"/>
        </w:rPr>
        <w:t xml:space="preserve">У родителей </w:t>
      </w:r>
      <w:r>
        <w:rPr>
          <w:rFonts w:ascii="Times New Roman" w:hAnsi="Times New Roman"/>
          <w:b w:val="1"/>
          <w:color w:val="000000"/>
          <w:sz w:val="28"/>
        </w:rPr>
        <w:t>детей-инвалидов есть право на досрочный выход на пенсию</w:t>
      </w:r>
    </w:p>
    <w:p w14:paraId="17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Родители, чьи дети имеют инвалидность, могут досрочно выйти на пенсию. Такое право появляется при условии воспитания ребенка с инвалидностью до 8-летнего возраста.</w:t>
      </w:r>
    </w:p>
    <w:p w14:paraId="18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Этим правом наделяются женщины и мужчины. Воспользоваться льготой отец ребенка должен иметь стаж не менее 20 лет, мать 15 лет, и индивидуальный пенсионный коэффициент (ИПК) не менее 30.</w:t>
      </w:r>
    </w:p>
    <w:p w14:paraId="19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Досрочно выйти на страховую пенсию может один из родителей. В соответствии со статьей 12 Федерального закона «О страховых пенсиях» в страховой стаж наравне с периодами работы, иной деятельности засчитывается период ухода за ребенком с инвалидностью одному из родителей. За один календарный год будет установлено 1,8 индивидуального пенсионного коэффициента.</w:t>
      </w:r>
    </w:p>
    <w:p w14:paraId="1A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Обратиться с заявлением можно в территориальный орган Фонда пенсионного и социального страхования Российской Федерации: л</w:t>
      </w:r>
      <w:r>
        <w:rPr>
          <w:rFonts w:ascii="Times New Roman" w:hAnsi="Times New Roman"/>
          <w:color w:val="000000"/>
          <w:sz w:val="28"/>
        </w:rPr>
        <w:t xml:space="preserve">ично; </w:t>
      </w:r>
      <w:r>
        <w:rPr>
          <w:rFonts w:ascii="Times New Roman" w:hAnsi="Times New Roman"/>
          <w:color w:val="000000"/>
          <w:sz w:val="28"/>
        </w:rPr>
        <w:t xml:space="preserve">посредством направления заявления по почте; </w:t>
      </w:r>
      <w:r>
        <w:rPr>
          <w:rFonts w:ascii="Times New Roman" w:hAnsi="Times New Roman"/>
          <w:color w:val="000000"/>
          <w:sz w:val="28"/>
        </w:rPr>
        <w:t xml:space="preserve">через личный кабинет на сайте Фонда пенсионного и социального страхования РФ; </w:t>
      </w:r>
      <w:r>
        <w:rPr>
          <w:rFonts w:ascii="Times New Roman" w:hAnsi="Times New Roman"/>
          <w:color w:val="000000"/>
          <w:sz w:val="28"/>
        </w:rPr>
        <w:t>через подачу заявления посредством услуг доверенного лица (при наличии доверенности, заверенной нотариусом).</w:t>
      </w:r>
    </w:p>
    <w:p w14:paraId="1B000000">
      <w:pPr>
        <w:rPr>
          <w:color w:val="000000"/>
        </w:rPr>
      </w:pPr>
    </w:p>
    <w:p w14:paraId="1C000000">
      <w:pPr>
        <w:widowControl w:val="1"/>
        <w:ind/>
        <w:jc w:val="center"/>
        <w:rPr>
          <w:rFonts w:ascii="Times New Roman" w:hAnsi="Times New Roman"/>
          <w:color w:val="000000"/>
          <w:sz w:val="28"/>
        </w:rPr>
      </w:pPr>
      <w:r>
        <w:rPr>
          <w:rFonts w:ascii="Times New Roman" w:hAnsi="Times New Roman"/>
          <w:b w:val="1"/>
          <w:color w:val="000000"/>
          <w:sz w:val="28"/>
          <w:highlight w:val="white"/>
        </w:rPr>
        <w:t>Об особенностях привлечения к труду несовершеннолетних в выходные и нерабочие праздничные дни в период предстоящих летних каникул</w:t>
      </w:r>
    </w:p>
    <w:p w14:paraId="1D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В</w:t>
      </w:r>
      <w:r>
        <w:rPr>
          <w:rFonts w:ascii="Times New Roman" w:hAnsi="Times New Roman"/>
          <w:color w:val="000000"/>
          <w:sz w:val="28"/>
        </w:rPr>
        <w:t xml:space="preserve"> статье 268 Трудового кодекса Российской Федерации установлен запрет на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18 лет.</w:t>
      </w:r>
    </w:p>
    <w:p w14:paraId="1E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Федеральным законом от 07.04.2025 № 63-ФЗ в указанную статью кодекса внесены изменения, устанавливающие возможность привлечения к работе лиц в возрасте от 14 до 18 лет в выходные и нерабочие праздничные дни в период летних каникул</w:t>
      </w:r>
      <w:r>
        <w:rPr>
          <w:rFonts w:ascii="Times New Roman" w:hAnsi="Times New Roman"/>
          <w:color w:val="000000"/>
          <w:sz w:val="28"/>
        </w:rPr>
        <w:t>.</w:t>
      </w:r>
    </w:p>
    <w:p w14:paraId="1F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В частности, работодатель имеет право привлекать работника в возрасте от 14 до 18 лет к работе в выходные и нерабочие праздничные дни, выполняемой в период летних каникул по направлению органов службы занятости населения или в составе студенческих отрядов, включенных в федеральный или региональный реестр молодежных и детских объединений, пользующихся государственной поддержкой, в следующих случаях:</w:t>
      </w:r>
    </w:p>
    <w:p w14:paraId="20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 в случае</w:t>
      </w:r>
      <w:r>
        <w:rPr>
          <w:rFonts w:ascii="Times New Roman" w:hAnsi="Times New Roman"/>
          <w:color w:val="000000"/>
          <w:sz w:val="28"/>
        </w:rPr>
        <w:t>,</w:t>
      </w:r>
      <w:r>
        <w:rPr>
          <w:rFonts w:ascii="Times New Roman" w:hAnsi="Times New Roman"/>
          <w:color w:val="000000"/>
          <w:sz w:val="28"/>
        </w:rPr>
        <w:t xml:space="preserve"> если работник достиг возраста 15 лет, с письменного согласия работника;</w:t>
      </w:r>
    </w:p>
    <w:p w14:paraId="21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 в случае</w:t>
      </w:r>
      <w:r>
        <w:rPr>
          <w:rFonts w:ascii="Times New Roman" w:hAnsi="Times New Roman"/>
          <w:color w:val="000000"/>
          <w:sz w:val="28"/>
        </w:rPr>
        <w:t>,</w:t>
      </w:r>
      <w:r>
        <w:rPr>
          <w:rFonts w:ascii="Times New Roman" w:hAnsi="Times New Roman"/>
          <w:color w:val="000000"/>
          <w:sz w:val="28"/>
        </w:rPr>
        <w:t xml:space="preserve"> если работник не достиг возраста 15 лет, с письменного согласия работника и одного из его родителей (попечителя);</w:t>
      </w:r>
    </w:p>
    <w:p w14:paraId="22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 в отношении несовершеннолетнего лица, указанного в </w:t>
      </w:r>
      <w:r>
        <w:rPr>
          <w:rFonts w:ascii="Times New Roman" w:hAnsi="Times New Roman"/>
          <w:color w:val="000000"/>
          <w:sz w:val="28"/>
        </w:rPr>
        <w:t>статье 63 Трудового кодекса Российской Федерации, с письменного согласия работника и органа опеки и попечительства или иного законного представителя несовершеннолетнего лица.</w:t>
      </w:r>
    </w:p>
    <w:p w14:paraId="23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Указанные изменения вступают в силу с 01.09.2025.</w:t>
      </w:r>
    </w:p>
    <w:p w14:paraId="24000000">
      <w:pPr>
        <w:rPr>
          <w:rFonts w:ascii="Times New Roman" w:hAnsi="Times New Roman"/>
          <w:color w:val="000000"/>
          <w:sz w:val="28"/>
        </w:rPr>
      </w:pPr>
    </w:p>
    <w:p w14:paraId="25000000">
      <w:pPr>
        <w:widowControl w:val="1"/>
        <w:ind/>
        <w:jc w:val="center"/>
        <w:rPr>
          <w:rFonts w:ascii="Times New Roman" w:hAnsi="Times New Roman"/>
          <w:b w:val="1"/>
          <w:color w:val="000000"/>
          <w:sz w:val="28"/>
          <w:highlight w:val="white"/>
        </w:rPr>
      </w:pPr>
      <w:r>
        <w:rPr>
          <w:rFonts w:ascii="Times New Roman" w:hAnsi="Times New Roman"/>
          <w:b w:val="1"/>
          <w:color w:val="000000"/>
          <w:sz w:val="28"/>
          <w:highlight w:val="white"/>
        </w:rPr>
        <w:t>Об ответственности за незаконную добычу (вылов) водных биологических ресурсов</w:t>
      </w:r>
    </w:p>
    <w:p w14:paraId="26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 xml:space="preserve">В Федеральном законе от 20.12.2004 № 166-ФЗ «О рыболовстве и сохранении водных биологических ресурсов» указано, что водными </w:t>
      </w:r>
      <w:r>
        <w:rPr>
          <w:rFonts w:ascii="Times New Roman" w:hAnsi="Times New Roman"/>
          <w:color w:val="000000"/>
          <w:sz w:val="28"/>
        </w:rPr>
        <w:t>биологическими ресурсами являются рыбы, водные беспозвоночные, водные млекопитающие, водоросли, другие водные животные и растения, находящиеся в состоянии естественной свободы.</w:t>
      </w:r>
    </w:p>
    <w:p w14:paraId="27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 xml:space="preserve">Изъятие водных биологических ресурсов из среды обитания, завладение ими в нарушение норм экологического законодательства является незаконной добычей (выловом) и влечет уголовную ответственность по статье 256 Уголовного кодекса Российской Федерации. </w:t>
      </w:r>
      <w:r>
        <w:rPr>
          <w:rFonts w:ascii="Times New Roman" w:hAnsi="Times New Roman"/>
          <w:color w:val="000000"/>
          <w:sz w:val="28"/>
        </w:rPr>
        <w:t>Кроме того, уголовная ответственность наступает, если незаконная добыча совершена лицом с применением самоходного транспортного плавающего средства, взрывчатых или химических веществ, электротока или других запрещенных орудий и способов массового истребления водных биологических ресурсов; в местах нереста или на миграционных путях к ним; на особо охраняемых природных территориях либо в зоне чрезвычайной экологической ситуации.</w:t>
      </w:r>
    </w:p>
    <w:p w14:paraId="28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 xml:space="preserve">Местом нереста признается море, река, водоем или часть водоема, где рыба мечет икру, а под миграционным путем к </w:t>
      </w:r>
      <w:r>
        <w:rPr>
          <w:rFonts w:ascii="Times New Roman" w:hAnsi="Times New Roman"/>
          <w:color w:val="000000"/>
          <w:sz w:val="28"/>
        </w:rPr>
        <w:t>нему - проходу</w:t>
      </w:r>
      <w:r>
        <w:rPr>
          <w:rFonts w:ascii="Times New Roman" w:hAnsi="Times New Roman"/>
          <w:color w:val="000000"/>
          <w:sz w:val="28"/>
        </w:rPr>
        <w:t>, по которым рыба идет к месту нереста. Если водный объект имеет небольшие размеры (например, озеро, пруд, запруда) и нерест происходит по всему водоему, он с учетом установленных фактических обстоятельств может быть признан местом нереста. Под способами массового истребления водных биологических ресурсов понимаются действия, связанные с применением таких незаконных орудий лова, которые повлекли либо могли повлечь массовую гибель водных биологических ресурсов, отрицательно повлиять на среду их обитания.</w:t>
      </w:r>
    </w:p>
    <w:p w14:paraId="29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 xml:space="preserve">Уголовная ответственность за совершение таких преступлений наступает с 16 лет, максимальное наказание по указанной статье предусмотрено в виде штрафа в размере до 1 млн. рублей, либо лишение свободы сроком до 5 лет. </w:t>
      </w:r>
      <w:r>
        <w:rPr>
          <w:rFonts w:ascii="Times New Roman" w:hAnsi="Times New Roman"/>
          <w:color w:val="000000"/>
          <w:sz w:val="28"/>
        </w:rPr>
        <w:t>Возможно</w:t>
      </w:r>
      <w:r>
        <w:rPr>
          <w:rFonts w:ascii="Times New Roman" w:hAnsi="Times New Roman"/>
          <w:color w:val="000000"/>
          <w:sz w:val="28"/>
        </w:rPr>
        <w:t xml:space="preserve"> также лишение права занимать определенные должности или заниматься определенной деятельностью на срок до 3 лет.</w:t>
      </w:r>
    </w:p>
    <w:p w14:paraId="2A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Часть 3 статьи 256 Уголовного кодекса Российской Федерации устанавливает уголовную ответственность за незаконную добычу или вылов водных биологических ресурсов, совершенную в особо крупном размере, либо лицом с использованием служебного положения, либо группой лиц по предварительному сговору. Крупным признается ущерб, причиненный водным биологическим ресурсам, превышающий 100 тыс. рублей, особо крупным – 250 000 рублей.</w:t>
      </w:r>
    </w:p>
    <w:p w14:paraId="2B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Приведенная норма закона направлена на предотвращение ущерба, который может быть причинен несанкционированной добычей этих ресурсов.</w:t>
      </w:r>
    </w:p>
    <w:p w14:paraId="2C000000">
      <w:pPr>
        <w:rPr>
          <w:color w:val="000000"/>
        </w:rPr>
      </w:pPr>
    </w:p>
    <w:p w14:paraId="2D000000">
      <w:pPr>
        <w:widowControl w:val="1"/>
        <w:ind/>
        <w:jc w:val="center"/>
        <w:rPr>
          <w:rFonts w:ascii="Times New Roman" w:hAnsi="Times New Roman"/>
          <w:b w:val="1"/>
          <w:color w:val="000000"/>
          <w:sz w:val="28"/>
          <w:highlight w:val="white"/>
        </w:rPr>
      </w:pPr>
      <w:r>
        <w:rPr>
          <w:rFonts w:ascii="Times New Roman" w:hAnsi="Times New Roman"/>
          <w:b w:val="1"/>
          <w:color w:val="000000"/>
          <w:sz w:val="28"/>
          <w:highlight w:val="white"/>
        </w:rPr>
        <w:t>О дополнительных трудовых гарантиях мобилизованным и членам их семей</w:t>
      </w:r>
    </w:p>
    <w:p w14:paraId="2E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01.03.2025 вступил в силу Федеральный закон от 26.12.2024 № 498-ФЗ «О внесении изменений в Трудовой кодекс Российской Федерации». Согласно закону работодатели обязаны приостанавливать трудовые договоры на весь период прохождения работником военной службы по мобилизации, службы в войсках национальной гвардии Российской Федерации по мобилизации или действия контракта. В период приостановления действия трудового договора за работником сохраняется место работы (должность).</w:t>
      </w:r>
    </w:p>
    <w:p w14:paraId="2F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 xml:space="preserve">Действие трудового договора возобновляется в день выхода работника на работу, о чем он обязан предупредить работодателя не </w:t>
      </w:r>
      <w:r>
        <w:rPr>
          <w:rFonts w:ascii="Times New Roman" w:hAnsi="Times New Roman"/>
          <w:color w:val="000000"/>
          <w:sz w:val="28"/>
        </w:rPr>
        <w:t>позднее</w:t>
      </w:r>
      <w:r>
        <w:rPr>
          <w:rFonts w:ascii="Times New Roman" w:hAnsi="Times New Roman"/>
          <w:color w:val="000000"/>
          <w:sz w:val="28"/>
        </w:rPr>
        <w:t xml:space="preserve"> чем за три рабочих дня.</w:t>
      </w:r>
    </w:p>
    <w:p w14:paraId="30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 xml:space="preserve">Один из родителей, если другой мобилизован, либо является добровольцем, либо заключил контракт на военную службу в период мобилизации, военного положения или в военное время, а в семье есть ребенок в возрасте до 14 лет, может отказаться </w:t>
      </w:r>
      <w:r>
        <w:rPr>
          <w:rFonts w:ascii="Times New Roman" w:hAnsi="Times New Roman"/>
          <w:color w:val="000000"/>
          <w:sz w:val="28"/>
        </w:rPr>
        <w:t>от</w:t>
      </w:r>
      <w:r>
        <w:rPr>
          <w:rFonts w:ascii="Times New Roman" w:hAnsi="Times New Roman"/>
          <w:color w:val="000000"/>
          <w:sz w:val="28"/>
        </w:rPr>
        <w:t xml:space="preserve"> сверхурочной работе, работе в ночное время, выходные и нерабочие праздничные дни. Отказ оформляется в письменном виде, без согласия работника привлекать его к этим видам работ нельзя.</w:t>
      </w:r>
    </w:p>
    <w:p w14:paraId="31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Для работников, имеющих ребенка в возрасте до 18 лет, если другой родитель относится к категории мобилизованных и приравненных к ним лиц, предусмотрено преимущественное право на оставление их на работе в связи с сокращением численности или штата работников при равной производительности труда и квалификации с другими работниками (часть 2 статья 179 Трудового кодекса Российской Федерации).</w:t>
      </w:r>
    </w:p>
    <w:p w14:paraId="32000000">
      <w:pPr>
        <w:widowControl w:val="1"/>
        <w:spacing w:line="240" w:lineRule="auto"/>
        <w:ind/>
        <w:jc w:val="center"/>
        <w:rPr>
          <w:rFonts w:ascii="Times New Roman" w:hAnsi="Times New Roman"/>
          <w:color w:val="000000"/>
          <w:sz w:val="28"/>
        </w:rPr>
      </w:pPr>
    </w:p>
    <w:p w14:paraId="33000000">
      <w:pPr>
        <w:widowControl w:val="1"/>
        <w:ind/>
        <w:jc w:val="center"/>
        <w:rPr>
          <w:rFonts w:ascii="Times New Roman" w:hAnsi="Times New Roman"/>
          <w:color w:val="000000"/>
          <w:sz w:val="28"/>
        </w:rPr>
      </w:pPr>
      <w:r>
        <w:rPr>
          <w:rFonts w:ascii="Times New Roman" w:hAnsi="Times New Roman"/>
          <w:b w:val="1"/>
          <w:color w:val="000000"/>
          <w:sz w:val="28"/>
          <w:highlight w:val="white"/>
        </w:rPr>
        <w:t>C 01.03.2025 гражданин вправе установить самозапрет</w:t>
      </w:r>
      <w:r>
        <w:rPr>
          <w:rFonts w:ascii="Times New Roman" w:hAnsi="Times New Roman"/>
          <w:b w:val="1"/>
          <w:color w:val="000000"/>
          <w:sz w:val="28"/>
          <w:highlight w:val="white"/>
        </w:rPr>
        <w:t xml:space="preserve"> на заключение договоров потребительского займа (кредита)</w:t>
      </w:r>
    </w:p>
    <w:p w14:paraId="34000000">
      <w:pPr>
        <w:widowControl w:val="1"/>
        <w:spacing w:after="0"/>
        <w:ind w:firstLine="709"/>
        <w:jc w:val="both"/>
        <w:rPr>
          <w:rFonts w:ascii="Times New Roman" w:hAnsi="Times New Roman"/>
          <w:color w:val="000000"/>
          <w:sz w:val="28"/>
        </w:rPr>
      </w:pPr>
      <w:r>
        <w:rPr>
          <w:rFonts w:ascii="Times New Roman" w:hAnsi="Times New Roman"/>
          <w:color w:val="000000"/>
          <w:sz w:val="28"/>
        </w:rPr>
        <w:t xml:space="preserve">01.03.2025 вступили в силу нормы, позволяющие установить </w:t>
      </w:r>
      <w:r>
        <w:rPr>
          <w:rFonts w:ascii="Times New Roman" w:hAnsi="Times New Roman"/>
          <w:color w:val="000000"/>
          <w:sz w:val="28"/>
        </w:rPr>
        <w:t>самозапрет</w:t>
      </w:r>
      <w:r>
        <w:rPr>
          <w:rFonts w:ascii="Times New Roman" w:hAnsi="Times New Roman"/>
          <w:color w:val="000000"/>
          <w:sz w:val="28"/>
        </w:rPr>
        <w:t xml:space="preserve"> на заключение договоров потребительского займа (кредита).</w:t>
      </w:r>
    </w:p>
    <w:p w14:paraId="35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Эта мера позволит защититься от мошеннических действий по оформлению потребительских займов (кредитов) третьими лицами, например, путем незаконного использования персональных данных.</w:t>
      </w:r>
    </w:p>
    <w:p w14:paraId="36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 xml:space="preserve">Запрет может быть установлен: </w:t>
      </w:r>
      <w:r>
        <w:rPr>
          <w:rFonts w:ascii="Times New Roman" w:hAnsi="Times New Roman"/>
          <w:color w:val="000000"/>
          <w:sz w:val="28"/>
        </w:rPr>
        <w:t xml:space="preserve">на заключение указанных договоров: </w:t>
      </w:r>
      <w:r>
        <w:rPr>
          <w:rFonts w:ascii="Times New Roman" w:hAnsi="Times New Roman"/>
          <w:color w:val="000000"/>
          <w:sz w:val="28"/>
        </w:rPr>
        <w:t xml:space="preserve">с кредитной организацией; </w:t>
      </w:r>
      <w:r>
        <w:rPr>
          <w:rFonts w:ascii="Times New Roman" w:hAnsi="Times New Roman"/>
          <w:color w:val="000000"/>
          <w:sz w:val="28"/>
        </w:rPr>
        <w:t xml:space="preserve">с </w:t>
      </w:r>
      <w:r>
        <w:rPr>
          <w:rFonts w:ascii="Times New Roman" w:hAnsi="Times New Roman"/>
          <w:color w:val="000000"/>
          <w:sz w:val="28"/>
        </w:rPr>
        <w:t>микрофинансовой</w:t>
      </w:r>
      <w:r>
        <w:rPr>
          <w:rFonts w:ascii="Times New Roman" w:hAnsi="Times New Roman"/>
          <w:color w:val="000000"/>
          <w:sz w:val="28"/>
        </w:rPr>
        <w:t xml:space="preserve"> организацией (МФО); </w:t>
      </w:r>
      <w:r>
        <w:rPr>
          <w:rFonts w:ascii="Times New Roman" w:hAnsi="Times New Roman"/>
          <w:color w:val="000000"/>
          <w:sz w:val="28"/>
        </w:rPr>
        <w:t xml:space="preserve">как с кредитной организацией, </w:t>
      </w:r>
      <w:r>
        <w:rPr>
          <w:rFonts w:ascii="Times New Roman" w:hAnsi="Times New Roman"/>
          <w:color w:val="000000"/>
          <w:sz w:val="28"/>
        </w:rPr>
        <w:t xml:space="preserve">так и с </w:t>
      </w:r>
      <w:r>
        <w:rPr>
          <w:rFonts w:ascii="Times New Roman" w:hAnsi="Times New Roman"/>
          <w:color w:val="000000"/>
          <w:sz w:val="28"/>
        </w:rPr>
        <w:t xml:space="preserve">микрофинансовой </w:t>
      </w:r>
      <w:r>
        <w:rPr>
          <w:rFonts w:ascii="Times New Roman" w:hAnsi="Times New Roman"/>
          <w:color w:val="000000"/>
          <w:sz w:val="28"/>
        </w:rPr>
        <w:t xml:space="preserve">организацией; </w:t>
      </w:r>
      <w:r>
        <w:rPr>
          <w:rFonts w:ascii="Times New Roman" w:hAnsi="Times New Roman"/>
          <w:color w:val="000000"/>
          <w:sz w:val="28"/>
        </w:rPr>
        <w:t>на заключение указанных договоров только дистанционным способом.</w:t>
      </w:r>
    </w:p>
    <w:p w14:paraId="37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Запрет нельзя распространить на заключение договоров потребительского займа (кредита), обеспеченных ипотекой и (или) залогом транспортного средства, договоров основного образовательного кредита с господдержкой.</w:t>
      </w:r>
    </w:p>
    <w:p w14:paraId="38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 xml:space="preserve">Установить (снять) </w:t>
      </w:r>
      <w:r>
        <w:rPr>
          <w:rFonts w:ascii="Times New Roman" w:hAnsi="Times New Roman"/>
          <w:color w:val="000000"/>
          <w:sz w:val="28"/>
        </w:rPr>
        <w:t>самозапрет</w:t>
      </w:r>
      <w:r>
        <w:rPr>
          <w:rFonts w:ascii="Times New Roman" w:hAnsi="Times New Roman"/>
          <w:color w:val="000000"/>
          <w:sz w:val="28"/>
        </w:rPr>
        <w:t xml:space="preserve"> можно путем подачи в квалифицированные бюро кредитных историй соответствующего заявления: </w:t>
      </w:r>
      <w:r>
        <w:rPr>
          <w:rFonts w:ascii="Times New Roman" w:hAnsi="Times New Roman"/>
          <w:color w:val="000000"/>
          <w:sz w:val="28"/>
        </w:rPr>
        <w:t>через Единый портал Госуслуг</w:t>
      </w:r>
      <w:r>
        <w:rPr>
          <w:rFonts w:ascii="Times New Roman" w:hAnsi="Times New Roman"/>
          <w:color w:val="000000"/>
          <w:sz w:val="28"/>
        </w:rPr>
        <w:t xml:space="preserve"> или </w:t>
      </w:r>
      <w:r>
        <w:rPr>
          <w:rFonts w:ascii="Times New Roman" w:hAnsi="Times New Roman"/>
          <w:color w:val="000000"/>
          <w:sz w:val="28"/>
        </w:rPr>
        <w:t>через МФЦ.</w:t>
      </w:r>
    </w:p>
    <w:p w14:paraId="39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Услуга оказывается бесплатно.</w:t>
      </w:r>
    </w:p>
    <w:p w14:paraId="3A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При подаче заявления о запрете (о снятии запрета) через МФЦ квалифицированное бюро кредитных историй уведомит гражданина и МФЦ о включении соответствующих сведений в состав кредитной истории. Уведомление, содержащее такие сведения, направляется в день включения сведений в состав кредитной истории и размещается в личном кабинете на  портале Г</w:t>
      </w:r>
      <w:r>
        <w:rPr>
          <w:rFonts w:ascii="Times New Roman" w:hAnsi="Times New Roman"/>
          <w:color w:val="000000"/>
          <w:sz w:val="28"/>
        </w:rPr>
        <w:t>осуслуг</w:t>
      </w:r>
      <w:r>
        <w:rPr>
          <w:rFonts w:ascii="Times New Roman" w:hAnsi="Times New Roman"/>
          <w:color w:val="000000"/>
          <w:sz w:val="28"/>
        </w:rPr>
        <w:t>. Выдача указанных уведомлений осуществляется МФЦ при личном обращении по истечении 3-х рабочих дней со дня получения МФЦ заявления.</w:t>
      </w:r>
    </w:p>
    <w:p w14:paraId="3B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При подаче заявления через портал Г</w:t>
      </w:r>
      <w:r>
        <w:rPr>
          <w:rFonts w:ascii="Times New Roman" w:hAnsi="Times New Roman"/>
          <w:color w:val="000000"/>
          <w:sz w:val="28"/>
        </w:rPr>
        <w:t>осуслуг</w:t>
      </w:r>
      <w:r>
        <w:rPr>
          <w:rFonts w:ascii="Times New Roman" w:hAnsi="Times New Roman"/>
          <w:color w:val="000000"/>
          <w:sz w:val="28"/>
        </w:rPr>
        <w:t xml:space="preserve"> уведомление о включении в состав кредитной истории сведений о запрете (о снятии запрета) размещается в личном кабинете на Едином портале.</w:t>
      </w:r>
    </w:p>
    <w:p w14:paraId="3C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Дата начала действия запрета - календарный день, следующий за днем включения в состав кредитной истории сведений о запрете, дата начала действия снятия запрета - второй календарный день, следующий за днем включения в состав кредитной истории сведений о снятии запрета.</w:t>
      </w:r>
    </w:p>
    <w:p w14:paraId="3D000000">
      <w:pPr>
        <w:widowControl w:val="1"/>
        <w:spacing w:after="0" w:before="0" w:line="240" w:lineRule="auto"/>
        <w:ind w:firstLine="709"/>
        <w:jc w:val="both"/>
        <w:rPr>
          <w:rFonts w:ascii="Times New Roman" w:hAnsi="Times New Roman"/>
          <w:color w:val="000000"/>
          <w:sz w:val="28"/>
        </w:rPr>
      </w:pPr>
    </w:p>
    <w:p w14:paraId="3E000000">
      <w:pPr>
        <w:widowControl w:val="1"/>
        <w:ind/>
        <w:jc w:val="center"/>
        <w:rPr>
          <w:rFonts w:ascii="Times New Roman" w:hAnsi="Times New Roman"/>
          <w:color w:val="000000"/>
          <w:sz w:val="28"/>
        </w:rPr>
      </w:pPr>
      <w:r>
        <w:rPr>
          <w:rFonts w:ascii="Times New Roman" w:hAnsi="Times New Roman"/>
          <w:b w:val="1"/>
          <w:color w:val="000000"/>
          <w:sz w:val="28"/>
          <w:highlight w:val="white"/>
        </w:rPr>
        <w:t>О новых правилах приобретения сим-карт для мобильных телефонов</w:t>
      </w:r>
    </w:p>
    <w:p w14:paraId="3F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 xml:space="preserve">Постановлением Правительства Российской Федерации от 30.12.2024 № 1994 «Об утверждении правил оказания услуг телефонной связи и </w:t>
      </w:r>
      <w:r>
        <w:rPr>
          <w:rFonts w:ascii="Times New Roman" w:hAnsi="Times New Roman"/>
          <w:color w:val="000000"/>
          <w:sz w:val="28"/>
        </w:rPr>
        <w:t>перечня организаций</w:t>
      </w:r>
      <w:r>
        <w:rPr>
          <w:rFonts w:ascii="Times New Roman" w:hAnsi="Times New Roman"/>
          <w:color w:val="000000"/>
          <w:sz w:val="28"/>
        </w:rPr>
        <w:t xml:space="preserve">, имеющих право осуществлять подтверждения сведений </w:t>
      </w:r>
      <w:r>
        <w:rPr>
          <w:rFonts w:ascii="Times New Roman" w:hAnsi="Times New Roman"/>
          <w:color w:val="000000"/>
          <w:sz w:val="28"/>
        </w:rPr>
        <w:t>об абоненте</w:t>
      </w:r>
      <w:r>
        <w:rPr>
          <w:rFonts w:ascii="Times New Roman" w:hAnsi="Times New Roman"/>
          <w:color w:val="000000"/>
          <w:sz w:val="28"/>
        </w:rPr>
        <w:t xml:space="preserve"> – физическом лице» утверждены правила приобретения сим-карт.</w:t>
      </w:r>
    </w:p>
    <w:p w14:paraId="40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 xml:space="preserve">Правила регулируют отношения между абонентом или </w:t>
      </w:r>
      <w:r>
        <w:rPr>
          <w:rFonts w:ascii="Times New Roman" w:hAnsi="Times New Roman"/>
          <w:color w:val="000000"/>
          <w:sz w:val="28"/>
        </w:rPr>
        <w:t>пользователем услуг</w:t>
      </w:r>
      <w:r>
        <w:rPr>
          <w:rFonts w:ascii="Times New Roman" w:hAnsi="Times New Roman"/>
          <w:color w:val="000000"/>
          <w:sz w:val="28"/>
        </w:rPr>
        <w:t xml:space="preserve"> телефонной связи и оператором связи при оказании услуг </w:t>
      </w:r>
      <w:r>
        <w:rPr>
          <w:rFonts w:ascii="Times New Roman" w:hAnsi="Times New Roman"/>
          <w:color w:val="000000"/>
          <w:sz w:val="28"/>
        </w:rPr>
        <w:t>местной</w:t>
      </w:r>
      <w:r>
        <w:rPr>
          <w:rFonts w:ascii="Times New Roman" w:hAnsi="Times New Roman"/>
          <w:color w:val="000000"/>
          <w:sz w:val="28"/>
        </w:rPr>
        <w:t>, в</w:t>
      </w:r>
      <w:r>
        <w:rPr>
          <w:rFonts w:ascii="Times New Roman" w:hAnsi="Times New Roman"/>
          <w:color w:val="000000"/>
          <w:sz w:val="28"/>
        </w:rPr>
        <w:t>нутризоновой</w:t>
      </w:r>
      <w:r>
        <w:rPr>
          <w:rFonts w:ascii="Times New Roman" w:hAnsi="Times New Roman"/>
          <w:color w:val="000000"/>
          <w:sz w:val="28"/>
        </w:rPr>
        <w:t xml:space="preserve">, междугородной и международной телефонной связи в сети </w:t>
      </w:r>
      <w:r>
        <w:rPr>
          <w:rFonts w:ascii="Times New Roman" w:hAnsi="Times New Roman"/>
          <w:color w:val="000000"/>
          <w:sz w:val="28"/>
        </w:rPr>
        <w:t>связи общего</w:t>
      </w:r>
      <w:r>
        <w:rPr>
          <w:rFonts w:ascii="Times New Roman" w:hAnsi="Times New Roman"/>
          <w:color w:val="000000"/>
          <w:sz w:val="28"/>
        </w:rPr>
        <w:t xml:space="preserve"> пользования, а также при оказании услуг подвижной радиосвязи, </w:t>
      </w:r>
      <w:r>
        <w:rPr>
          <w:rFonts w:ascii="Times New Roman" w:hAnsi="Times New Roman"/>
          <w:color w:val="000000"/>
          <w:sz w:val="28"/>
        </w:rPr>
        <w:t>услуг подвижной</w:t>
      </w:r>
      <w:r>
        <w:rPr>
          <w:rFonts w:ascii="Times New Roman" w:hAnsi="Times New Roman"/>
          <w:color w:val="000000"/>
          <w:sz w:val="28"/>
        </w:rPr>
        <w:t xml:space="preserve"> радиотелефонной связи и услуг подвижной спутниковой </w:t>
      </w:r>
      <w:r>
        <w:rPr>
          <w:rFonts w:ascii="Times New Roman" w:hAnsi="Times New Roman"/>
          <w:color w:val="000000"/>
          <w:sz w:val="28"/>
        </w:rPr>
        <w:t>радиосвязи</w:t>
      </w:r>
      <w:r>
        <w:rPr>
          <w:rFonts w:ascii="Times New Roman" w:hAnsi="Times New Roman"/>
          <w:color w:val="000000"/>
          <w:sz w:val="28"/>
        </w:rPr>
        <w:t xml:space="preserve"> сети связи общего пользования.</w:t>
      </w:r>
    </w:p>
    <w:p w14:paraId="41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 xml:space="preserve">Определен перечень организаций, имеющих право </w:t>
      </w:r>
      <w:r>
        <w:rPr>
          <w:rFonts w:ascii="Times New Roman" w:hAnsi="Times New Roman"/>
          <w:color w:val="000000"/>
          <w:sz w:val="28"/>
        </w:rPr>
        <w:t>осуществлять подтверждение</w:t>
      </w:r>
      <w:r>
        <w:rPr>
          <w:rFonts w:ascii="Times New Roman" w:hAnsi="Times New Roman"/>
          <w:color w:val="000000"/>
          <w:sz w:val="28"/>
        </w:rPr>
        <w:t xml:space="preserve"> сведений об абоненте - физическом лице.</w:t>
      </w:r>
    </w:p>
    <w:p w14:paraId="42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 xml:space="preserve">Проверка сведений об абонентах - гражданах Российской </w:t>
      </w:r>
      <w:r>
        <w:rPr>
          <w:rFonts w:ascii="Times New Roman" w:hAnsi="Times New Roman"/>
          <w:color w:val="000000"/>
          <w:sz w:val="28"/>
        </w:rPr>
        <w:t>Федерации</w:t>
      </w:r>
      <w:r>
        <w:rPr>
          <w:rFonts w:ascii="Times New Roman" w:hAnsi="Times New Roman"/>
          <w:color w:val="000000"/>
          <w:sz w:val="28"/>
        </w:rPr>
        <w:t>,з</w:t>
      </w:r>
      <w:r>
        <w:rPr>
          <w:rFonts w:ascii="Times New Roman" w:hAnsi="Times New Roman"/>
          <w:color w:val="000000"/>
          <w:sz w:val="28"/>
        </w:rPr>
        <w:t>аключивших</w:t>
      </w:r>
      <w:r>
        <w:rPr>
          <w:rFonts w:ascii="Times New Roman" w:hAnsi="Times New Roman"/>
          <w:color w:val="000000"/>
          <w:sz w:val="28"/>
        </w:rPr>
        <w:t xml:space="preserve"> договоры об оказании услуг подвижной радиотелефонной связи до 01.04.2025, о пользователях - гражданах Российской Федерации абонентов - юридических </w:t>
      </w:r>
      <w:r>
        <w:rPr>
          <w:rFonts w:ascii="Times New Roman" w:hAnsi="Times New Roman"/>
          <w:color w:val="000000"/>
          <w:sz w:val="28"/>
        </w:rPr>
        <w:t>лиц либо</w:t>
      </w:r>
      <w:r>
        <w:rPr>
          <w:rFonts w:ascii="Times New Roman" w:hAnsi="Times New Roman"/>
          <w:color w:val="000000"/>
          <w:sz w:val="28"/>
        </w:rPr>
        <w:t xml:space="preserve"> индивидуальных предпринимателей, которым абонентские </w:t>
      </w:r>
      <w:r>
        <w:rPr>
          <w:rFonts w:ascii="Times New Roman" w:hAnsi="Times New Roman"/>
          <w:color w:val="000000"/>
          <w:sz w:val="28"/>
        </w:rPr>
        <w:t>номера предоставлены</w:t>
      </w:r>
      <w:r>
        <w:rPr>
          <w:rFonts w:ascii="Times New Roman" w:hAnsi="Times New Roman"/>
          <w:color w:val="000000"/>
          <w:sz w:val="28"/>
        </w:rPr>
        <w:t xml:space="preserve"> такими абонентами в пользование до 01.04.2025, а также </w:t>
      </w:r>
      <w:r>
        <w:rPr>
          <w:rFonts w:ascii="Times New Roman" w:hAnsi="Times New Roman"/>
          <w:color w:val="000000"/>
          <w:sz w:val="28"/>
        </w:rPr>
        <w:t>о количестве</w:t>
      </w:r>
      <w:r>
        <w:rPr>
          <w:rFonts w:ascii="Times New Roman" w:hAnsi="Times New Roman"/>
          <w:color w:val="000000"/>
          <w:sz w:val="28"/>
        </w:rPr>
        <w:t xml:space="preserve"> номеров, выделенных таким абонентам или пользователям </w:t>
      </w:r>
      <w:r>
        <w:rPr>
          <w:rFonts w:ascii="Times New Roman" w:hAnsi="Times New Roman"/>
          <w:color w:val="000000"/>
          <w:sz w:val="28"/>
        </w:rPr>
        <w:t>услуг связи</w:t>
      </w:r>
      <w:r>
        <w:rPr>
          <w:rFonts w:ascii="Times New Roman" w:hAnsi="Times New Roman"/>
          <w:color w:val="000000"/>
          <w:sz w:val="28"/>
        </w:rPr>
        <w:t xml:space="preserve">, осуществляется операторами связи в случае, если абоненту выделено </w:t>
      </w:r>
      <w:r>
        <w:rPr>
          <w:rFonts w:ascii="Times New Roman" w:hAnsi="Times New Roman"/>
          <w:color w:val="000000"/>
          <w:sz w:val="28"/>
        </w:rPr>
        <w:t>или предоставлено</w:t>
      </w:r>
      <w:r>
        <w:rPr>
          <w:rFonts w:ascii="Times New Roman" w:hAnsi="Times New Roman"/>
          <w:color w:val="000000"/>
          <w:sz w:val="28"/>
        </w:rPr>
        <w:t xml:space="preserve"> в пользование в совокупности более 20 абонентских номеров.</w:t>
      </w:r>
    </w:p>
    <w:p w14:paraId="43000000">
      <w:pPr>
        <w:widowControl w:val="1"/>
        <w:spacing w:after="0" w:before="0" w:line="240" w:lineRule="auto"/>
        <w:ind w:firstLine="709"/>
        <w:jc w:val="both"/>
        <w:rPr>
          <w:rFonts w:ascii="Times New Roman" w:hAnsi="Times New Roman"/>
          <w:color w:val="000000"/>
          <w:sz w:val="28"/>
        </w:rPr>
      </w:pPr>
      <w:r>
        <w:rPr>
          <w:rFonts w:ascii="Times New Roman" w:hAnsi="Times New Roman"/>
          <w:color w:val="000000"/>
          <w:sz w:val="28"/>
        </w:rPr>
        <w:t xml:space="preserve">Постановление вступило в силу </w:t>
      </w:r>
      <w:r>
        <w:rPr>
          <w:rFonts w:ascii="Times New Roman" w:hAnsi="Times New Roman"/>
          <w:color w:val="000000"/>
          <w:sz w:val="28"/>
        </w:rPr>
        <w:t xml:space="preserve">10.01.2025 за исключением его отдельных положений, </w:t>
      </w:r>
      <w:r>
        <w:rPr>
          <w:rFonts w:ascii="Times New Roman" w:hAnsi="Times New Roman"/>
          <w:color w:val="000000"/>
          <w:sz w:val="28"/>
        </w:rPr>
        <w:t>для которых</w:t>
      </w:r>
      <w:r>
        <w:rPr>
          <w:rFonts w:ascii="Times New Roman" w:hAnsi="Times New Roman"/>
          <w:color w:val="000000"/>
          <w:sz w:val="28"/>
        </w:rPr>
        <w:t xml:space="preserve"> предусмотрены иные сроки вступления в силу, и действует в течение 6лет со дня его вступления в силу.</w:t>
      </w:r>
    </w:p>
    <w:p w14:paraId="44000000">
      <w:pPr>
        <w:widowControl w:val="1"/>
        <w:spacing w:after="0" w:before="0" w:line="240" w:lineRule="auto"/>
        <w:ind w:firstLine="709"/>
        <w:jc w:val="both"/>
        <w:rPr>
          <w:rFonts w:ascii="Times New Roman" w:hAnsi="Times New Roman"/>
          <w:color w:val="000000"/>
          <w:sz w:val="28"/>
        </w:rPr>
      </w:pPr>
    </w:p>
    <w:p w14:paraId="45000000">
      <w:pPr>
        <w:widowControl w:val="1"/>
        <w:spacing w:after="0" w:before="0" w:line="240" w:lineRule="auto"/>
        <w:ind w:firstLine="0"/>
        <w:jc w:val="center"/>
        <w:rPr>
          <w:rFonts w:ascii="Times New Roman" w:hAnsi="Times New Roman"/>
          <w:color w:val="000000"/>
          <w:sz w:val="28"/>
        </w:rPr>
      </w:pPr>
      <w:r>
        <w:rPr>
          <w:rFonts w:ascii="Times New Roman" w:hAnsi="Times New Roman"/>
          <w:b w:val="1"/>
          <w:color w:val="000000"/>
          <w:sz w:val="28"/>
        </w:rPr>
        <w:t xml:space="preserve">Об уголовной ответственности за пропаганду наркотических средств, психотропных веществ, их аналогов или </w:t>
      </w:r>
      <w:r>
        <w:rPr>
          <w:rFonts w:ascii="Times New Roman" w:hAnsi="Times New Roman"/>
          <w:b w:val="1"/>
          <w:color w:val="000000"/>
          <w:sz w:val="28"/>
        </w:rPr>
        <w:t>прекурсоров</w:t>
      </w:r>
      <w:r>
        <w:rPr>
          <w:rFonts w:ascii="Times New Roman" w:hAnsi="Times New Roman"/>
          <w:b w:val="1"/>
          <w:color w:val="000000"/>
          <w:sz w:val="28"/>
        </w:rPr>
        <w:t xml:space="preserve">, растений, содержащих наркотические средства или психотропные вещества либо их </w:t>
      </w:r>
      <w:r>
        <w:rPr>
          <w:rFonts w:ascii="Times New Roman" w:hAnsi="Times New Roman"/>
          <w:b w:val="1"/>
          <w:color w:val="000000"/>
          <w:sz w:val="28"/>
        </w:rPr>
        <w:t>прекурсоры</w:t>
      </w:r>
    </w:p>
    <w:p w14:paraId="46000000">
      <w:pPr>
        <w:widowControl w:val="1"/>
        <w:spacing w:after="0" w:before="0" w:line="240" w:lineRule="auto"/>
        <w:ind w:firstLine="0"/>
        <w:jc w:val="center"/>
        <w:rPr>
          <w:rFonts w:ascii="Times New Roman" w:hAnsi="Times New Roman"/>
          <w:color w:val="000000"/>
          <w:sz w:val="28"/>
        </w:rPr>
      </w:pPr>
    </w:p>
    <w:p w14:paraId="47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Федеральным законом от 08.08.2024 № 226-ФЗ Уголовный кодекс Российской Федерации дополнен статьей 230.3, устанавливающей уголовную ответственность за пропаганду наркотических средств, психотропных веществ, их аналогов или </w:t>
      </w:r>
      <w:r>
        <w:rPr>
          <w:rFonts w:ascii="Times New Roman" w:hAnsi="Times New Roman"/>
          <w:color w:val="000000"/>
          <w:sz w:val="28"/>
        </w:rPr>
        <w:t>прекурсоров</w:t>
      </w:r>
      <w:r>
        <w:rPr>
          <w:rFonts w:ascii="Times New Roman" w:hAnsi="Times New Roman"/>
          <w:color w:val="000000"/>
          <w:sz w:val="28"/>
        </w:rPr>
        <w:t xml:space="preserve">, растений, содержащих наркотические средства или психотропные вещества либо их </w:t>
      </w:r>
      <w:r>
        <w:rPr>
          <w:rFonts w:ascii="Times New Roman" w:hAnsi="Times New Roman"/>
          <w:color w:val="000000"/>
          <w:sz w:val="28"/>
        </w:rPr>
        <w:t>прекурсоры</w:t>
      </w:r>
      <w:r>
        <w:rPr>
          <w:rFonts w:ascii="Times New Roman" w:hAnsi="Times New Roman"/>
          <w:color w:val="000000"/>
          <w:sz w:val="28"/>
        </w:rPr>
        <w:t>.</w:t>
      </w:r>
    </w:p>
    <w:p w14:paraId="48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Пропаганда наркотических средств – деятельность, осуществляемая юридическими или физическими лицами,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w:t>
      </w:r>
      <w:r>
        <w:rPr>
          <w:rFonts w:ascii="Times New Roman" w:hAnsi="Times New Roman"/>
          <w:color w:val="000000"/>
          <w:sz w:val="28"/>
        </w:rPr>
        <w:t>прекурсоров</w:t>
      </w:r>
      <w:r>
        <w:rPr>
          <w:rFonts w:ascii="Times New Roman" w:hAnsi="Times New Roman"/>
          <w:color w:val="000000"/>
          <w:sz w:val="28"/>
        </w:rPr>
        <w:t xml:space="preserve">, новых потенциально опасных </w:t>
      </w:r>
      <w:r>
        <w:rPr>
          <w:rFonts w:ascii="Times New Roman" w:hAnsi="Times New Roman"/>
          <w:color w:val="000000"/>
          <w:sz w:val="28"/>
        </w:rPr>
        <w:t>психоактивных</w:t>
      </w:r>
      <w:r>
        <w:rPr>
          <w:rFonts w:ascii="Times New Roman" w:hAnsi="Times New Roman"/>
          <w:color w:val="000000"/>
          <w:sz w:val="28"/>
        </w:rPr>
        <w:t xml:space="preserve"> веществ, местах их приобретения, способах и местах культивирования </w:t>
      </w:r>
      <w:r>
        <w:rPr>
          <w:rFonts w:ascii="Times New Roman" w:hAnsi="Times New Roman"/>
          <w:color w:val="000000"/>
          <w:sz w:val="28"/>
        </w:rPr>
        <w:t>наркотикосодержащих</w:t>
      </w:r>
      <w:r>
        <w:rPr>
          <w:rFonts w:ascii="Times New Roman" w:hAnsi="Times New Roman"/>
          <w:color w:val="000000"/>
          <w:sz w:val="28"/>
        </w:rPr>
        <w:t xml:space="preserve">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w:t>
      </w:r>
      <w:r>
        <w:rPr>
          <w:rFonts w:ascii="Times New Roman" w:hAnsi="Times New Roman"/>
          <w:color w:val="000000"/>
          <w:sz w:val="28"/>
        </w:rPr>
        <w:t xml:space="preserve"> совершение иных действий в этих целях.</w:t>
      </w:r>
    </w:p>
    <w:p w14:paraId="49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Пропаганда наркотических средств будет уголовно наказуемой, если она совершена лицом после его привлечения к административной ответственности за аналогичное деяние (статья 6.13 </w:t>
      </w:r>
      <w:r>
        <w:rPr>
          <w:rFonts w:ascii="Times New Roman" w:hAnsi="Times New Roman"/>
          <w:color w:val="000000"/>
          <w:sz w:val="28"/>
        </w:rPr>
        <w:t>Кодекса Российской Федерации об административных правонарушениях</w:t>
      </w:r>
      <w:r>
        <w:rPr>
          <w:rFonts w:ascii="Times New Roman" w:hAnsi="Times New Roman"/>
          <w:color w:val="000000"/>
          <w:sz w:val="28"/>
        </w:rPr>
        <w:t>) 2 раза в течение 1 года либо лицом, уже имеющим судимость за совершение преступления, предусмотренного статьей 230.3 Уголовного кодекса Российской Федерации.</w:t>
      </w:r>
    </w:p>
    <w:p w14:paraId="4A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За совершение указанного преступления предусмотрена уголовная ответственность в виде штрафа в размере от 100 тыс. до 300 тыс. рублей либо обязательных и исправительных работ, либо ограничения или лишения свободы сроком до 2 лет.</w:t>
      </w:r>
    </w:p>
    <w:p w14:paraId="4B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Изменения вступят в законную силу с 01.09.2025.</w:t>
      </w:r>
    </w:p>
    <w:p w14:paraId="4C000000">
      <w:pPr>
        <w:widowControl w:val="1"/>
        <w:spacing w:after="0" w:line="276" w:lineRule="auto"/>
        <w:ind/>
        <w:jc w:val="center"/>
        <w:rPr>
          <w:rFonts w:ascii="Times New Roman" w:hAnsi="Times New Roman"/>
          <w:b w:val="1"/>
          <w:color w:val="000000"/>
          <w:sz w:val="28"/>
        </w:rPr>
      </w:pPr>
    </w:p>
    <w:p w14:paraId="4D000000">
      <w:pPr>
        <w:widowControl w:val="1"/>
        <w:spacing w:after="0" w:line="276" w:lineRule="auto"/>
        <w:ind/>
        <w:jc w:val="center"/>
        <w:rPr>
          <w:rFonts w:ascii="Times New Roman" w:hAnsi="Times New Roman"/>
          <w:b w:val="1"/>
          <w:color w:val="000000"/>
          <w:sz w:val="28"/>
        </w:rPr>
      </w:pPr>
      <w:r>
        <w:rPr>
          <w:rFonts w:ascii="Times New Roman" w:hAnsi="Times New Roman"/>
          <w:b w:val="1"/>
          <w:color w:val="000000"/>
          <w:sz w:val="28"/>
        </w:rPr>
        <w:t>О новых требованиях к подготовке многоквартирных домов к отопительному периоду</w:t>
      </w:r>
    </w:p>
    <w:p w14:paraId="4E000000">
      <w:pPr>
        <w:widowControl w:val="1"/>
        <w:spacing w:after="140" w:line="240" w:lineRule="auto"/>
        <w:ind/>
        <w:rPr>
          <w:rFonts w:ascii="Roboto" w:hAnsi="Roboto"/>
          <w:color w:val="000000"/>
          <w:sz w:val="28"/>
        </w:rPr>
      </w:pPr>
      <w:r>
        <w:rPr>
          <w:rFonts w:ascii="Roboto" w:hAnsi="Roboto"/>
          <w:color w:val="000000"/>
          <w:sz w:val="28"/>
        </w:rPr>
        <w:t> </w:t>
      </w:r>
      <w:r>
        <w:rPr>
          <w:rFonts w:ascii="Roboto" w:hAnsi="Roboto"/>
          <w:color w:val="000000"/>
          <w:sz w:val="23"/>
        </w:rPr>
        <w:t>Текст</w:t>
      </w:r>
    </w:p>
    <w:p w14:paraId="4F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С 01.0</w:t>
      </w:r>
      <w:r>
        <w:rPr>
          <w:rFonts w:ascii="Times New Roman" w:hAnsi="Times New Roman"/>
          <w:color w:val="000000"/>
          <w:sz w:val="28"/>
        </w:rPr>
        <w:t>3.2025 вступают в силу изменения законодательства о теплоснабжении, предусмотренные Федеральным законом от 08.08.2024 № 311-ФЗ, направленные на повышение надежности и безопасности систем теплоснабжения, обеспечение готовности к отопительному периоду.</w:t>
      </w:r>
    </w:p>
    <w:p w14:paraId="50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Так, готовность к отопительному периоду должна быть обеспечена теплоснабжающими и </w:t>
      </w:r>
      <w:r>
        <w:rPr>
          <w:rFonts w:ascii="Times New Roman" w:hAnsi="Times New Roman"/>
          <w:color w:val="000000"/>
          <w:sz w:val="28"/>
        </w:rPr>
        <w:t>теплосетевыми</w:t>
      </w:r>
      <w:r>
        <w:rPr>
          <w:rFonts w:ascii="Times New Roman" w:hAnsi="Times New Roman"/>
          <w:color w:val="000000"/>
          <w:sz w:val="28"/>
        </w:rPr>
        <w:t xml:space="preserve"> организациями, муниципальными образованиями, потребителями тепловой энергии, управляющими компаниями, ТСЖ, ЖСК или иным специализированным потребительским кооперативом при условии осуществления ими деятельности по управлению многоквартирными </w:t>
      </w:r>
      <w:r>
        <w:rPr>
          <w:rFonts w:ascii="Times New Roman" w:hAnsi="Times New Roman"/>
          <w:color w:val="000000"/>
          <w:sz w:val="28"/>
        </w:rPr>
        <w:t xml:space="preserve">домами, владельцами тепловых сетей, не являющимися </w:t>
      </w:r>
      <w:r>
        <w:rPr>
          <w:rFonts w:ascii="Times New Roman" w:hAnsi="Times New Roman"/>
          <w:color w:val="000000"/>
          <w:sz w:val="28"/>
        </w:rPr>
        <w:t>теплосетевыми</w:t>
      </w:r>
      <w:r>
        <w:rPr>
          <w:rFonts w:ascii="Times New Roman" w:hAnsi="Times New Roman"/>
          <w:color w:val="000000"/>
          <w:sz w:val="28"/>
        </w:rPr>
        <w:t xml:space="preserve"> организациями.</w:t>
      </w:r>
    </w:p>
    <w:p w14:paraId="51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Для потребителей тепловой энергии (в том числе УК, ТСЖ) введены обязательства на постоянной основе обеспечивать: эксплуатацию </w:t>
      </w:r>
      <w:r>
        <w:rPr>
          <w:rFonts w:ascii="Times New Roman" w:hAnsi="Times New Roman"/>
          <w:color w:val="000000"/>
          <w:sz w:val="28"/>
        </w:rPr>
        <w:t>теплопотребляющих</w:t>
      </w:r>
      <w:r>
        <w:rPr>
          <w:rFonts w:ascii="Times New Roman" w:hAnsi="Times New Roman"/>
          <w:color w:val="000000"/>
          <w:sz w:val="28"/>
        </w:rPr>
        <w:t xml:space="preserve"> установок в соответствии с требованиями безопасности в сфере теплоснабжения; готовность к соблюдению указанного в договоре теплоснабжения режима потребления тепловой энергии; отсутствие задолженности за поставленные тепловую энергию (мощность), теплоноситель, а также коммерческий учет тепловой энергии, теплоносителя.</w:t>
      </w:r>
    </w:p>
    <w:p w14:paraId="52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Предусмотрена обязанность теплоснабжающих и </w:t>
      </w:r>
      <w:r>
        <w:rPr>
          <w:rFonts w:ascii="Times New Roman" w:hAnsi="Times New Roman"/>
          <w:color w:val="000000"/>
          <w:sz w:val="28"/>
        </w:rPr>
        <w:t>теплосетевых</w:t>
      </w:r>
      <w:r>
        <w:rPr>
          <w:rFonts w:ascii="Times New Roman" w:hAnsi="Times New Roman"/>
          <w:color w:val="000000"/>
          <w:sz w:val="28"/>
        </w:rPr>
        <w:t xml:space="preserve"> организаций на постоянной основе резервировать системы теплоснабжения, чтобы в случае аварии обеспечить </w:t>
      </w:r>
      <w:r>
        <w:rPr>
          <w:rFonts w:ascii="Times New Roman" w:hAnsi="Times New Roman"/>
          <w:color w:val="000000"/>
          <w:sz w:val="28"/>
        </w:rPr>
        <w:t>оперативное</w:t>
      </w:r>
      <w:r>
        <w:rPr>
          <w:rFonts w:ascii="Times New Roman" w:hAnsi="Times New Roman"/>
          <w:color w:val="000000"/>
          <w:sz w:val="28"/>
        </w:rPr>
        <w:t xml:space="preserve"> </w:t>
      </w:r>
      <w:r>
        <w:rPr>
          <w:rFonts w:ascii="Times New Roman" w:hAnsi="Times New Roman"/>
          <w:color w:val="000000"/>
          <w:sz w:val="28"/>
        </w:rPr>
        <w:t>переподключение</w:t>
      </w:r>
      <w:r>
        <w:rPr>
          <w:rFonts w:ascii="Times New Roman" w:hAnsi="Times New Roman"/>
          <w:color w:val="000000"/>
          <w:sz w:val="28"/>
        </w:rPr>
        <w:t xml:space="preserve"> от одной системы к другой.</w:t>
      </w:r>
    </w:p>
    <w:p w14:paraId="53000000">
      <w:pPr>
        <w:widowControl w:val="1"/>
        <w:spacing w:after="0" w:line="240" w:lineRule="auto"/>
        <w:ind w:firstLine="709"/>
        <w:jc w:val="both"/>
        <w:rPr>
          <w:rFonts w:ascii="Times New Roman" w:hAnsi="Times New Roman"/>
          <w:color w:val="000000"/>
          <w:sz w:val="28"/>
        </w:rPr>
      </w:pPr>
    </w:p>
    <w:p w14:paraId="54000000">
      <w:pPr>
        <w:widowControl w:val="1"/>
        <w:spacing w:after="0" w:line="276" w:lineRule="auto"/>
        <w:ind/>
        <w:jc w:val="center"/>
        <w:rPr>
          <w:rFonts w:ascii="Times New Roman" w:hAnsi="Times New Roman"/>
          <w:b w:val="1"/>
          <w:color w:val="000000"/>
          <w:sz w:val="28"/>
        </w:rPr>
      </w:pPr>
      <w:r>
        <w:rPr>
          <w:rFonts w:ascii="Times New Roman" w:hAnsi="Times New Roman"/>
          <w:b w:val="1"/>
          <w:color w:val="000000"/>
          <w:sz w:val="28"/>
        </w:rPr>
        <w:t>Установлена ответственность за продажу лицам до 18 лет опасных бытовых товаров с газом</w:t>
      </w:r>
    </w:p>
    <w:p w14:paraId="55000000">
      <w:pPr>
        <w:widowControl w:val="1"/>
        <w:spacing w:after="0" w:line="276" w:lineRule="auto"/>
        <w:ind/>
        <w:jc w:val="center"/>
        <w:rPr>
          <w:rFonts w:ascii="Times New Roman" w:hAnsi="Times New Roman"/>
          <w:b w:val="1"/>
          <w:color w:val="000000"/>
          <w:sz w:val="28"/>
        </w:rPr>
      </w:pPr>
    </w:p>
    <w:p w14:paraId="56000000">
      <w:pPr>
        <w:widowControl w:val="1"/>
        <w:spacing w:after="0" w:line="240" w:lineRule="auto"/>
        <w:ind w:firstLine="709"/>
        <w:jc w:val="both"/>
        <w:rPr>
          <w:rFonts w:ascii="Roboto" w:hAnsi="Roboto"/>
          <w:color w:val="000000"/>
          <w:sz w:val="28"/>
        </w:rPr>
      </w:pPr>
      <w:r>
        <w:rPr>
          <w:rFonts w:ascii="Roboto" w:hAnsi="Roboto"/>
          <w:color w:val="000000"/>
          <w:sz w:val="28"/>
        </w:rPr>
        <w:t> </w:t>
      </w:r>
      <w:r>
        <w:rPr>
          <w:rFonts w:ascii="Times New Roman" w:hAnsi="Times New Roman"/>
          <w:color w:val="000000"/>
          <w:sz w:val="28"/>
        </w:rPr>
        <w:t xml:space="preserve">Федеральным законом от 03.02.2025 № 2-ФЗ внесены изменения в статью 14.53 Кодекса Российской Федерации об административных правонарушениях, которыми с 01.09.2025 </w:t>
      </w:r>
      <w:r>
        <w:rPr>
          <w:rFonts w:ascii="Times New Roman" w:hAnsi="Times New Roman"/>
          <w:color w:val="000000"/>
          <w:sz w:val="28"/>
        </w:rPr>
        <w:t>установлена ответственность за продажу несовершеннолетним потенциально опасных газосодержащих товаров бытового назначения.</w:t>
      </w:r>
    </w:p>
    <w:p w14:paraId="57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Перечень таких товаров будет установлен Правительством Российской Федерации.</w:t>
      </w:r>
    </w:p>
    <w:p w14:paraId="58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За указанное правонарушение предусмотрено наказание в виде штрафа: на граждан в размере от 2 тысяч до 3 тысяч рублей; на должностных лиц - от 5 тысяч до 7 тысяч рублей; на юридических лиц - от 1 млн. 500 тысяч до 2 млн. рублей.</w:t>
      </w:r>
    </w:p>
    <w:p w14:paraId="59000000">
      <w:pPr>
        <w:widowControl w:val="1"/>
        <w:spacing w:after="0" w:line="240" w:lineRule="auto"/>
        <w:ind w:firstLine="709"/>
        <w:jc w:val="both"/>
        <w:rPr>
          <w:rFonts w:ascii="Times New Roman" w:hAnsi="Times New Roman"/>
          <w:color w:val="000000"/>
          <w:sz w:val="28"/>
        </w:rPr>
      </w:pPr>
    </w:p>
    <w:p w14:paraId="5A000000">
      <w:pPr>
        <w:widowControl w:val="1"/>
        <w:spacing w:after="0" w:line="240" w:lineRule="auto"/>
        <w:ind w:firstLine="0"/>
        <w:jc w:val="center"/>
        <w:rPr>
          <w:rFonts w:ascii="Times New Roman" w:hAnsi="Times New Roman"/>
          <w:color w:val="000000"/>
          <w:sz w:val="28"/>
        </w:rPr>
      </w:pPr>
      <w:r>
        <w:rPr>
          <w:rFonts w:ascii="Times New Roman" w:hAnsi="Times New Roman"/>
          <w:b w:val="1"/>
          <w:color w:val="000000"/>
          <w:sz w:val="28"/>
        </w:rPr>
        <w:t>Запрещена пропаганда «</w:t>
      </w:r>
      <w:r>
        <w:rPr>
          <w:rFonts w:ascii="Times New Roman" w:hAnsi="Times New Roman"/>
          <w:b w:val="1"/>
          <w:color w:val="000000"/>
          <w:sz w:val="28"/>
        </w:rPr>
        <w:t>чайлдфри</w:t>
      </w:r>
      <w:r>
        <w:rPr>
          <w:rFonts w:ascii="Times New Roman" w:hAnsi="Times New Roman"/>
          <w:b w:val="1"/>
          <w:color w:val="000000"/>
          <w:sz w:val="28"/>
        </w:rPr>
        <w:t xml:space="preserve">» </w:t>
      </w:r>
    </w:p>
    <w:p w14:paraId="5B000000">
      <w:pPr>
        <w:widowControl w:val="1"/>
        <w:spacing w:line="240" w:lineRule="auto"/>
        <w:ind w:firstLine="709"/>
        <w:jc w:val="both"/>
        <w:rPr>
          <w:rFonts w:ascii="Times New Roman" w:hAnsi="Times New Roman"/>
          <w:color w:val="000000"/>
          <w:sz w:val="28"/>
        </w:rPr>
      </w:pPr>
    </w:p>
    <w:p w14:paraId="5C000000">
      <w:pPr>
        <w:widowControl w:val="1"/>
        <w:spacing w:line="240" w:lineRule="auto"/>
        <w:ind w:firstLine="709"/>
        <w:jc w:val="both"/>
        <w:rPr>
          <w:rFonts w:ascii="Times New Roman" w:hAnsi="Times New Roman"/>
          <w:color w:val="000000"/>
          <w:sz w:val="28"/>
        </w:rPr>
      </w:pPr>
      <w:r>
        <w:rPr>
          <w:rFonts w:ascii="Times New Roman" w:hAnsi="Times New Roman"/>
          <w:color w:val="000000"/>
          <w:sz w:val="28"/>
        </w:rPr>
        <w:t xml:space="preserve">Федеральным законом от </w:t>
      </w:r>
      <w:r>
        <w:rPr>
          <w:rFonts w:ascii="Times New Roman" w:hAnsi="Times New Roman"/>
          <w:color w:val="000000"/>
          <w:sz w:val="28"/>
        </w:rPr>
        <w:t xml:space="preserve">23.11.2024 № 411-ФЗ внесены изменения в статьи 10.6 и 15.1 Федерального закона «Об информации, информационных технологиях и о защите информации» и отдельные законодательные акты Российской Федерации». Поправками запрещается распространением в сети «Интернет», средствах массовой информации, кинофильмах и рекламе информации, направленной на формирование привлекательности отказа от деторождения и социальной равноценности рождения детей и отказа от деторождения. Также такая информация отнесена к информации, запрещенной </w:t>
      </w:r>
      <w:r>
        <w:rPr>
          <w:rFonts w:ascii="Times New Roman" w:hAnsi="Times New Roman"/>
          <w:color w:val="000000"/>
          <w:sz w:val="28"/>
        </w:rPr>
        <w:t>для распространению</w:t>
      </w:r>
      <w:r>
        <w:rPr>
          <w:rFonts w:ascii="Times New Roman" w:hAnsi="Times New Roman"/>
          <w:color w:val="000000"/>
          <w:sz w:val="28"/>
        </w:rPr>
        <w:t xml:space="preserve"> среди детей. </w:t>
      </w:r>
      <w:r>
        <w:rPr>
          <w:rFonts w:ascii="Times New Roman" w:hAnsi="Times New Roman"/>
          <w:color w:val="000000"/>
          <w:sz w:val="28"/>
        </w:rPr>
        <w:t>Также</w:t>
      </w:r>
      <w:r>
        <w:rPr>
          <w:rFonts w:ascii="Times New Roman" w:hAnsi="Times New Roman"/>
          <w:color w:val="000000"/>
          <w:sz w:val="28"/>
        </w:rPr>
        <w:t xml:space="preserve"> Федеральным законом от 23.11.2024 № 401-ФЗ внесены изменения в статью 6.21 Кодекса Российской Федерации об административных правонарушениях. Теперь административно наказуемой пропагандой являются: </w:t>
      </w:r>
      <w:r>
        <w:rPr>
          <w:rFonts w:ascii="Symbol" w:hAnsi="Symbol"/>
          <w:color w:val="000000"/>
          <w:sz w:val="28"/>
        </w:rPr>
        <w:t>·</w:t>
      </w:r>
      <w:r>
        <w:rPr>
          <w:rFonts w:ascii="Times New Roman" w:hAnsi="Times New Roman"/>
          <w:color w:val="000000"/>
          <w:sz w:val="28"/>
        </w:rPr>
        <w:t xml:space="preserve"> распространение информации; </w:t>
      </w:r>
      <w:r>
        <w:rPr>
          <w:rFonts w:ascii="Symbol" w:hAnsi="Symbol"/>
          <w:color w:val="000000"/>
          <w:sz w:val="28"/>
        </w:rPr>
        <w:t>·</w:t>
      </w:r>
      <w:r>
        <w:rPr>
          <w:rFonts w:ascii="Times New Roman" w:hAnsi="Times New Roman"/>
          <w:color w:val="000000"/>
          <w:sz w:val="28"/>
        </w:rPr>
        <w:t xml:space="preserve"> совершение публичных действий, направленных на формирование привлекательности отказа от деторождения или искаженного представления о социальной равноценности рождения детей и отказа от деторождения; </w:t>
      </w:r>
      <w:r>
        <w:rPr>
          <w:rFonts w:ascii="Symbol" w:hAnsi="Symbol"/>
          <w:color w:val="000000"/>
          <w:sz w:val="28"/>
        </w:rPr>
        <w:t>·</w:t>
      </w:r>
      <w:r>
        <w:rPr>
          <w:rFonts w:ascii="Times New Roman" w:hAnsi="Times New Roman"/>
          <w:color w:val="000000"/>
          <w:sz w:val="28"/>
        </w:rPr>
        <w:t xml:space="preserve"> навязывание информации об отказе от деторождения, вызывающей интерес к отказу от деторождения. При этом не являются административным правонарушением распространение информации о монашестве и монашеском образе жизни, соблюдении обета безбрачия (целибата) и связанном с ними отказе от деторождения. Изменения вступили в силу 04.12.2024.</w:t>
      </w:r>
    </w:p>
    <w:p w14:paraId="5D000000">
      <w:pPr>
        <w:widowControl w:val="1"/>
        <w:spacing w:after="0" w:line="240" w:lineRule="auto"/>
        <w:ind w:firstLine="709"/>
        <w:jc w:val="center"/>
        <w:rPr>
          <w:rFonts w:ascii="Times New Roman" w:hAnsi="Times New Roman"/>
          <w:b w:val="1"/>
          <w:color w:val="000000"/>
          <w:sz w:val="28"/>
        </w:rPr>
      </w:pPr>
      <w:r>
        <w:rPr>
          <w:rFonts w:ascii="Times New Roman" w:hAnsi="Times New Roman"/>
          <w:b w:val="1"/>
          <w:color w:val="000000"/>
          <w:sz w:val="28"/>
        </w:rPr>
        <w:t xml:space="preserve">Установлены особенности миграционного учета военнослужащих и членов их семей </w:t>
      </w:r>
    </w:p>
    <w:p w14:paraId="5E000000">
      <w:pPr>
        <w:widowControl w:val="1"/>
        <w:spacing w:after="0" w:line="240" w:lineRule="auto"/>
        <w:ind w:firstLine="709"/>
        <w:jc w:val="both"/>
        <w:rPr>
          <w:rFonts w:ascii="Times New Roman" w:hAnsi="Times New Roman"/>
          <w:color w:val="000000"/>
          <w:sz w:val="28"/>
        </w:rPr>
      </w:pPr>
    </w:p>
    <w:p w14:paraId="5F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Федеральным законом от 13.12.2024 № 462-ФЗ внесены изменения в Закон «О праве граждан Российской Федерации на свободу передвижения, выбор места пребывания и жительства в пределах Российской Федерации, а также в Федеральный закон «О статусе военнослужащих». Согласно поправкам, военнослужащие, проходящие военную службу по контракту, и проживающие с ними члены их семей, не обеспеченные жилыми помещениями в населенных пунктах, в которых располагаются воинские части (организации, учреждения, органы), в которых указанные военнослужащие проходят военную службу, или в близлежащих населенных пунктах, имеют право регистрироваться по месту жительства по адресам этих воинских частей (организаций, учреждений, органов). В отдельных случаях указанные военнослужащие регистрируются по адресам иных воинских частей (организаций, учреждений, органов), которые располагаются в населенных пунктах, в которых они проходят военную службу, или в близлежащих населенных пунктах. Порядок организации деятельности по учету лиц, зарегистрированных органами регистрационного учета по месту жительства по адресу воинской части (организации, учреждения, органа), и снятию указанных лиц с такого учета определяется федеральным органом исполнительной власти или федеральным государственным органом, в которых федеральным законом предусмотрена военная служба. Кроме того, в период мобилизации, военного положения и в </w:t>
      </w:r>
      <w:r>
        <w:rPr>
          <w:rFonts w:ascii="Times New Roman" w:hAnsi="Times New Roman"/>
          <w:color w:val="000000"/>
          <w:sz w:val="28"/>
        </w:rPr>
        <w:t xml:space="preserve">военное время заселение военнослужащих во все виды гостиниц может осуществляться на основании документа, удостоверяющего личность военнослужащего Российской Федерации. Изменения вступили в силу 24.12.2024. </w:t>
      </w:r>
    </w:p>
    <w:p w14:paraId="60000000">
      <w:pPr>
        <w:widowControl w:val="1"/>
        <w:spacing w:after="0" w:line="240" w:lineRule="auto"/>
        <w:ind w:firstLine="709"/>
        <w:jc w:val="both"/>
        <w:rPr>
          <w:rFonts w:ascii="Times New Roman" w:hAnsi="Times New Roman"/>
          <w:color w:val="000000"/>
          <w:sz w:val="28"/>
        </w:rPr>
      </w:pPr>
    </w:p>
    <w:p w14:paraId="61000000">
      <w:pPr>
        <w:widowControl w:val="1"/>
        <w:spacing w:after="0" w:line="240" w:lineRule="auto"/>
        <w:ind w:firstLine="709"/>
        <w:jc w:val="both"/>
        <w:rPr>
          <w:rFonts w:ascii="Times New Roman" w:hAnsi="Times New Roman"/>
          <w:color w:val="000000"/>
          <w:sz w:val="28"/>
        </w:rPr>
      </w:pPr>
    </w:p>
    <w:p w14:paraId="62000000">
      <w:pPr>
        <w:widowControl w:val="1"/>
        <w:spacing w:after="0" w:line="240" w:lineRule="auto"/>
        <w:ind w:firstLine="0"/>
        <w:jc w:val="center"/>
        <w:rPr>
          <w:rFonts w:ascii="Times New Roman" w:hAnsi="Times New Roman"/>
          <w:b w:val="1"/>
          <w:color w:val="000000"/>
          <w:sz w:val="28"/>
        </w:rPr>
      </w:pPr>
      <w:r>
        <w:rPr>
          <w:rFonts w:ascii="Times New Roman" w:hAnsi="Times New Roman"/>
          <w:b w:val="1"/>
          <w:color w:val="000000"/>
          <w:sz w:val="28"/>
        </w:rPr>
        <w:t xml:space="preserve">Введены новые штрафы в сфере оборота древесины </w:t>
      </w:r>
    </w:p>
    <w:p w14:paraId="63000000">
      <w:pPr>
        <w:widowControl w:val="1"/>
        <w:spacing w:after="0" w:line="240" w:lineRule="auto"/>
        <w:ind w:firstLine="709"/>
        <w:jc w:val="both"/>
        <w:rPr>
          <w:rFonts w:ascii="Times New Roman" w:hAnsi="Times New Roman"/>
          <w:b w:val="1"/>
          <w:color w:val="000000"/>
          <w:sz w:val="28"/>
        </w:rPr>
      </w:pPr>
    </w:p>
    <w:p w14:paraId="64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Федеральным законом от 08.07.2024 № 165-ФЗ внесены изменения в статью 8.28.1 Кодекса Российской Федерации об административных правонарушениях. Согласно поправкам, за транспортировку древесины и (или) продукции ее переработки автомобильным транспортом, не оборудованным техническими средствами контроля движения, предусмотрен штраф на должностных лиц в размере от 20 до 40 тысяч рублей; на лиц, осуществляющих предпринимательскую деятельность без образования юридического лица (индивидуальных предпринимателей), - от 100 до 200 тысяч рублей; на юридических лиц - от 200 до 400 тысяч рублей. За повторное совершение данного нарушения грозит конфискация древесины и транспортных средств. Кроме того, нарушение требований к размещению и характеристикам складов древесины, а также порядка внесения сведений о складах древесины в государственный лесной реестр, влечет наложение административного штрафа на должностных лиц в размере от 25 до 50 тысяч рублей; на индивидуальных предпринимателей - от 50 до 100 тысяч рублей; на юридических лиц - от 100 до 200 тысяч рублей; Также за непредставление сведений об адресах и владельцах объектов лесоперерабатывающей инфраструктуры, либо представление заведомо ложных сведений в государственной лесной реестр предусмотрено наложение административного штрафа на граждан в размере от 25 до 50 тысяч рублей; на должностных лиц - от 50 до 100 тысяч рублей; на юридических лиц - от 100 до 200 тысяч рублей. В свою очередь непредставление или несвоевременное представление сведений о ввезенной на склад и вывезенной со склада древесине для формирования отчета о балансе древесины в федеральную государственную информационную систему лесного комплекса для формирования отчета о древесине и продукции ее переработки, а также представление заведомо ложных сведений влечет наложение административного штрафа на должностных лиц в размере от 5 до 20 тысяч рублей; на лиц, осуществляющих предпринимательскую деятельность без образования юридического лица, - от 7 до 25 тысяч рублей; на юридических лиц - от 100 до 200 тысяч рублей. Изменения вступили в силу 01.01.2025. </w:t>
      </w:r>
    </w:p>
    <w:p w14:paraId="65000000">
      <w:pPr>
        <w:widowControl w:val="1"/>
        <w:spacing w:after="0" w:line="240" w:lineRule="auto"/>
        <w:ind w:firstLine="709"/>
        <w:jc w:val="both"/>
        <w:rPr>
          <w:rFonts w:ascii="Times New Roman" w:hAnsi="Times New Roman"/>
          <w:color w:val="000000"/>
          <w:sz w:val="28"/>
        </w:rPr>
      </w:pPr>
    </w:p>
    <w:p w14:paraId="66000000">
      <w:pPr>
        <w:widowControl w:val="1"/>
        <w:spacing w:after="0" w:line="240" w:lineRule="auto"/>
        <w:ind w:firstLine="0"/>
        <w:jc w:val="center"/>
        <w:rPr>
          <w:rFonts w:ascii="Times New Roman" w:hAnsi="Times New Roman"/>
          <w:color w:val="000000"/>
          <w:sz w:val="28"/>
        </w:rPr>
      </w:pPr>
      <w:r>
        <w:rPr>
          <w:rFonts w:ascii="Times New Roman" w:hAnsi="Times New Roman"/>
          <w:b w:val="1"/>
          <w:color w:val="000000"/>
          <w:sz w:val="28"/>
        </w:rPr>
        <w:t xml:space="preserve">Обновлена форма охотничьего билета, а также порядок его выдачи и аннулирования </w:t>
      </w:r>
    </w:p>
    <w:p w14:paraId="67000000">
      <w:pPr>
        <w:widowControl w:val="1"/>
        <w:spacing w:after="0" w:line="240" w:lineRule="auto"/>
        <w:ind w:firstLine="709"/>
        <w:jc w:val="both"/>
        <w:rPr>
          <w:rFonts w:ascii="Times New Roman" w:hAnsi="Times New Roman"/>
          <w:b w:val="1"/>
          <w:color w:val="000000"/>
          <w:sz w:val="28"/>
        </w:rPr>
      </w:pPr>
    </w:p>
    <w:p w14:paraId="68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Приказом Минприроды России от 24.09.2024 № 579 определен порядок выдачи и аннулирования охотничьего билета, утверждена его форма. Согласно поправкам, охотничий билет выдается физическим лицам, соответствующим требованиям части 1 статьи 21 Федерального закона «Об охоте и о сохранении охотничьих ресурсов и о внесении изменений в отдельные законодательные акты Российской Федерации» (физические лица, обладающие гражданской дееспособностью в соответствии с гражданским </w:t>
      </w:r>
      <w:r>
        <w:rPr>
          <w:rFonts w:ascii="Times New Roman" w:hAnsi="Times New Roman"/>
          <w:color w:val="000000"/>
          <w:sz w:val="28"/>
        </w:rPr>
        <w:t xml:space="preserve">законодательством, не имеющие непогашенной или неснятой судимости за совершение умышленного преступления и ознакомившиеся с требованиями охотничьего минимума), на основании заявления. Такое заявление может быть составлено в форме электронного документа, подписанного электронной подписью и направлено в уполномоченный орган посредством Единого портала госуслуг, региональных порталов. Также предусмотрена возможность подачи заявления на бумажном носителе в уполномоченный орган или в многофункциональный центр, а также его направление почтовым отправлением. Охотничий билет выдается исполнительным органом субъекта Российской Федерации, на территории которого расположено место жительства физического лица, а при отсутствии места жительства - место пребывания заявителя. В Забайкалье таким органом является Министерство природных ресурсов Забайкальского края. Изменения вступили в силу 01.01.2025. </w:t>
      </w:r>
    </w:p>
    <w:p w14:paraId="69000000">
      <w:pPr>
        <w:widowControl w:val="1"/>
        <w:spacing w:after="0" w:line="240" w:lineRule="auto"/>
        <w:ind w:firstLine="709"/>
        <w:jc w:val="both"/>
        <w:rPr>
          <w:rFonts w:ascii="Times New Roman" w:hAnsi="Times New Roman"/>
          <w:color w:val="000000"/>
          <w:sz w:val="28"/>
        </w:rPr>
      </w:pPr>
    </w:p>
    <w:p w14:paraId="6A000000">
      <w:pPr>
        <w:widowControl w:val="1"/>
        <w:spacing w:after="0" w:line="240" w:lineRule="auto"/>
        <w:ind w:firstLine="0"/>
        <w:jc w:val="center"/>
        <w:rPr>
          <w:rFonts w:ascii="Times New Roman" w:hAnsi="Times New Roman"/>
          <w:color w:val="000000"/>
          <w:sz w:val="28"/>
        </w:rPr>
      </w:pPr>
      <w:r>
        <w:rPr>
          <w:rFonts w:ascii="Times New Roman" w:hAnsi="Times New Roman"/>
          <w:b w:val="1"/>
          <w:color w:val="000000"/>
          <w:sz w:val="28"/>
        </w:rPr>
        <w:t xml:space="preserve">Новое в законодательстве о транспортной безопасности </w:t>
      </w:r>
    </w:p>
    <w:p w14:paraId="6B000000">
      <w:pPr>
        <w:widowControl w:val="1"/>
        <w:spacing w:after="0" w:line="240" w:lineRule="auto"/>
        <w:ind w:firstLine="709"/>
        <w:jc w:val="both"/>
        <w:rPr>
          <w:rFonts w:ascii="Times New Roman" w:hAnsi="Times New Roman"/>
          <w:b w:val="1"/>
          <w:color w:val="000000"/>
          <w:sz w:val="28"/>
        </w:rPr>
      </w:pPr>
    </w:p>
    <w:p w14:paraId="6C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Постановлением Правительства Российской Федерации от 16.11.2024 № 1574 внесены изменения в Требования по обеспечению транспортной безопасности, учитывающие уровни безопасности для транспортных средств автомобильного транспорта и городского наземного электрического транспорта. Согласно поправкам, для транспортных средств, осуществляющих перевозки пассажиров по маршрутам регулярных перевозок и эксплуатируемых одним субъектом транспортной инфраструктуры (перевозчиком), у которых идентичны категории и классы, соответствующие техническому регламенту Таможенного союза «О безопасности колесных транспортных средств», а также конструктивные элементы, влияющие на применение одинаковых мер по защите этих транспортных средств от актов незаконного вмешательства, паспорт транспортного средства может разрабатываться и утверждаться на группу таких транспортных средств по одному или нескольким маршрутам регулярных перевозок, на которых используются эти транспортные средства. В случае разработки и утверждения паспорта транспортного средства на группу транспортных средств внесение в него изменений (дополнений), переутверждение и представление в Росавтодор в связи с переходом права собственности на транспортное средство или переходом права его использования на ином законном основании, а также при изменении маршрута регулярной перевозки транспортного средства должны осуществляться в течение 3 месяцев со дня возникновения указанных обстоятельств. Изменения вступили в силу 26.11.2024. </w:t>
      </w:r>
    </w:p>
    <w:p w14:paraId="6D000000">
      <w:pPr>
        <w:widowControl w:val="1"/>
        <w:spacing w:after="0" w:line="240" w:lineRule="auto"/>
        <w:ind w:firstLine="709"/>
        <w:jc w:val="both"/>
        <w:rPr>
          <w:rFonts w:ascii="Times New Roman" w:hAnsi="Times New Roman"/>
          <w:color w:val="000000"/>
          <w:sz w:val="28"/>
        </w:rPr>
      </w:pPr>
    </w:p>
    <w:p w14:paraId="6E000000">
      <w:pPr>
        <w:widowControl w:val="1"/>
        <w:spacing w:after="0" w:line="240" w:lineRule="auto"/>
        <w:ind w:firstLine="0"/>
        <w:jc w:val="center"/>
        <w:rPr>
          <w:rFonts w:ascii="Times New Roman" w:hAnsi="Times New Roman"/>
          <w:b w:val="1"/>
          <w:color w:val="000000"/>
          <w:sz w:val="28"/>
        </w:rPr>
      </w:pPr>
      <w:r>
        <w:rPr>
          <w:rFonts w:ascii="Times New Roman" w:hAnsi="Times New Roman"/>
          <w:b w:val="1"/>
          <w:color w:val="000000"/>
          <w:sz w:val="28"/>
        </w:rPr>
        <w:t>Объекты культурного наследия разрешено передавать в концессию</w:t>
      </w:r>
    </w:p>
    <w:p w14:paraId="6F000000">
      <w:pPr>
        <w:widowControl w:val="1"/>
        <w:spacing w:after="0" w:line="240" w:lineRule="auto"/>
        <w:ind w:firstLine="709"/>
        <w:jc w:val="both"/>
        <w:rPr>
          <w:rFonts w:ascii="Times New Roman" w:hAnsi="Times New Roman"/>
          <w:color w:val="000000"/>
          <w:sz w:val="28"/>
        </w:rPr>
      </w:pPr>
    </w:p>
    <w:p w14:paraId="70000000">
      <w:pPr>
        <w:pStyle w:val="Style_4"/>
        <w:widowControl w:val="1"/>
        <w:spacing w:after="0" w:line="240" w:lineRule="auto"/>
        <w:ind w:firstLine="709"/>
        <w:jc w:val="both"/>
        <w:rPr>
          <w:color w:val="000000"/>
        </w:rPr>
      </w:pPr>
      <w:r>
        <w:rPr>
          <w:rFonts w:ascii="Times New Roman" w:hAnsi="Times New Roman"/>
          <w:color w:val="000000"/>
          <w:sz w:val="28"/>
        </w:rPr>
        <w:t xml:space="preserve">Федеральным законом от 30.11.2024 № 444-ФЗ внесены изменения в Федеральный закон «О концессионных соглашениях», который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 При этом </w:t>
      </w:r>
      <w:r>
        <w:rPr>
          <w:rFonts w:ascii="Times New Roman" w:hAnsi="Times New Roman"/>
          <w:color w:val="000000"/>
          <w:sz w:val="28"/>
        </w:rPr>
        <w:t xml:space="preserve">концессионное соглашение </w:t>
      </w:r>
      <w:r>
        <w:rPr>
          <w:rFonts w:ascii="Times New Roman" w:hAnsi="Times New Roman"/>
          <w:color w:val="000000"/>
          <w:sz w:val="28"/>
        </w:rPr>
        <w:t>- это</w:t>
      </w:r>
      <w:r>
        <w:rPr>
          <w:rFonts w:ascii="Times New Roman" w:hAnsi="Times New Roman"/>
          <w:color w:val="000000"/>
          <w:sz w:val="28"/>
        </w:rPr>
        <w:t xml:space="preserve"> договор, в соответствии с которым концессионер за свой счет создает и (или) реконструирует, а также в дальнейшем использует в своей деятельности определенное соглашением недвижимое имущество. Поправками установлены особенности заключения и исполнения концессионных соглашений в отношении объектов культурного наследия, находящихся в неудовлетворительном состоянии. Также определено, что объектами концессионного соглашения не могут быть мемориальные квартиры, мавзолеи, произведения монументального искусства, а также имущество религиозного назначения. Запрещено изменение целевого назначения объекта образования, культуры, спорта, объекта, используемого для организации отдыха граждан и туризма, иного объекта социально-культурного назначения, входящего в состав объекта культурного наследия, находящегося в неудовлетворительном состоянии, являющегося объектом концессионного соглашения. Кроме того, приводятся существенные условия, которые должно содержать концессионное соглашение, и устанавливается, что оно может быть расторгнуто на основании решения суда в случае, если неисполнение или ненадлежащее исполнение концессионером обязательств по концессионному соглашению повлекло за собой уничтожение или существенное повреждение объекта культурного наследия. При выполнении всех предусмотренных законом условий концессионер получит преимущественное право на выкуп объекта концессионного соглашения. Изменения вступили в силу 31.12.2024.</w:t>
      </w:r>
    </w:p>
    <w:p w14:paraId="71000000">
      <w:pPr>
        <w:widowControl w:val="1"/>
        <w:spacing w:after="0" w:line="240" w:lineRule="auto"/>
        <w:ind w:firstLine="709"/>
        <w:jc w:val="both"/>
        <w:rPr>
          <w:rFonts w:ascii="Times New Roman" w:hAnsi="Times New Roman"/>
          <w:color w:val="000000"/>
          <w:sz w:val="28"/>
        </w:rPr>
      </w:pPr>
    </w:p>
    <w:p w14:paraId="72000000">
      <w:pPr>
        <w:widowControl w:val="1"/>
        <w:spacing w:afterAutospacing="on" w:line="240" w:lineRule="auto"/>
        <w:ind/>
        <w:jc w:val="both"/>
        <w:rPr>
          <w:rFonts w:ascii="Roboto" w:hAnsi="Roboto"/>
          <w:i w:val="0"/>
          <w:color w:val="000000"/>
          <w:sz w:val="28"/>
        </w:rPr>
      </w:pPr>
      <w:r>
        <w:rPr>
          <w:rFonts w:ascii="Times New Roman" w:hAnsi="Times New Roman"/>
          <w:b w:val="0"/>
          <w:i w:val="0"/>
          <w:color w:val="000000"/>
          <w:sz w:val="28"/>
          <w:u w:val="none"/>
        </w:rPr>
        <w:t>Информацию подготовил:</w:t>
      </w:r>
    </w:p>
    <w:tbl>
      <w:tblPr>
        <w:tblStyle w:val="Style_5"/>
        <w:tblpPr w:bottomFromText="0" w:horzAnchor="text" w:leftFromText="181" w:rightFromText="181" w:tblpXSpec="left" w:tblpY="1" w:topFromText="0" w:vertAnchor="text"/>
        <w:tblW w:type="auto" w:w="0"/>
        <w:tblBorders>
          <w:top w:color="000000" w:sz="4" w:val="nil"/>
          <w:left w:color="000000" w:sz="4" w:val="nil"/>
          <w:bottom w:color="000000" w:sz="4" w:val="nil"/>
          <w:right w:color="000000" w:sz="4" w:val="nil"/>
          <w:insideH w:color="000000" w:sz="4" w:val="nil"/>
          <w:insideV w:color="000000" w:sz="4" w:val="nil"/>
        </w:tblBorders>
        <w:tblLayout w:type="fixed"/>
      </w:tblPr>
      <w:tblGrid>
        <w:gridCol w:w="4434"/>
        <w:gridCol w:w="1286"/>
        <w:gridCol w:w="4061"/>
      </w:tblGrid>
      <w:tr>
        <w:trPr>
          <w:trHeight w:hRule="atLeast" w:val="643"/>
        </w:trPr>
        <w:tc>
          <w:tcPr>
            <w:tcW w:type="dxa" w:w="4434"/>
            <w:tcBorders>
              <w:top w:color="000000" w:sz="4" w:val="nil"/>
              <w:left w:color="000000" w:sz="4" w:val="nil"/>
              <w:bottom w:color="000000" w:sz="4" w:val="nil"/>
              <w:right w:color="000000" w:sz="4" w:val="nil"/>
            </w:tcBorders>
            <w:vAlign w:val="bottom"/>
          </w:tcPr>
          <w:p w14:paraId="73000000">
            <w:pPr>
              <w:widowControl w:val="1"/>
              <w:spacing w:line="240" w:lineRule="exact"/>
              <w:ind w:left="-113"/>
              <w:rPr>
                <w:rFonts w:ascii="Times New Roman" w:hAnsi="Times New Roman"/>
                <w:color w:val="000000"/>
                <w:sz w:val="28"/>
              </w:rPr>
            </w:pPr>
            <w:r>
              <w:rPr>
                <w:rFonts w:ascii="Times New Roman" w:hAnsi="Times New Roman"/>
                <w:color w:val="000000"/>
                <w:sz w:val="28"/>
              </w:rPr>
              <w:t xml:space="preserve">Старший помощник межрайонного прокурора </w:t>
            </w:r>
          </w:p>
          <w:p w14:paraId="74000000">
            <w:pPr>
              <w:widowControl w:val="1"/>
              <w:spacing w:line="240" w:lineRule="exact"/>
              <w:ind w:left="-113"/>
              <w:rPr>
                <w:rFonts w:ascii="Times New Roman" w:hAnsi="Times New Roman"/>
                <w:color w:val="000000"/>
                <w:sz w:val="28"/>
              </w:rPr>
            </w:pPr>
          </w:p>
          <w:p w14:paraId="75000000">
            <w:pPr>
              <w:widowControl w:val="1"/>
              <w:spacing w:line="240" w:lineRule="exact"/>
              <w:ind w:left="-113"/>
              <w:rPr>
                <w:rFonts w:ascii="Times New Roman" w:hAnsi="Times New Roman"/>
                <w:color w:val="000000"/>
                <w:sz w:val="28"/>
              </w:rPr>
            </w:pPr>
            <w:r>
              <w:rPr>
                <w:rFonts w:ascii="Times New Roman" w:hAnsi="Times New Roman"/>
                <w:color w:val="000000"/>
                <w:sz w:val="28"/>
              </w:rPr>
              <w:t>юрист 3 класса</w:t>
            </w:r>
          </w:p>
        </w:tc>
        <w:tc>
          <w:tcPr>
            <w:tcW w:type="dxa" w:w="1286"/>
            <w:tcBorders>
              <w:top w:color="000000" w:sz="4" w:val="nil"/>
              <w:left w:color="000000" w:sz="4" w:val="nil"/>
              <w:bottom w:color="000000" w:sz="4" w:val="nil"/>
              <w:right w:color="000000" w:sz="4" w:val="nil"/>
            </w:tcBorders>
            <w:vAlign w:val="bottom"/>
          </w:tcPr>
          <w:p w14:paraId="76000000">
            <w:pPr>
              <w:widowControl w:val="1"/>
              <w:spacing w:line="240" w:lineRule="exact"/>
              <w:ind/>
              <w:rPr>
                <w:rFonts w:ascii="Times New Roman" w:hAnsi="Times New Roman"/>
                <w:color w:val="000000"/>
                <w:sz w:val="28"/>
              </w:rPr>
            </w:pPr>
          </w:p>
        </w:tc>
        <w:tc>
          <w:tcPr>
            <w:tcW w:type="dxa" w:w="4061"/>
            <w:tcBorders>
              <w:top w:color="000000" w:sz="4" w:val="nil"/>
              <w:left w:color="000000" w:sz="4" w:val="nil"/>
              <w:bottom w:color="000000" w:sz="4" w:val="nil"/>
              <w:right w:color="000000" w:sz="4" w:val="nil"/>
            </w:tcBorders>
            <w:vAlign w:val="bottom"/>
          </w:tcPr>
          <w:p w14:paraId="77000000">
            <w:pPr>
              <w:widowControl w:val="1"/>
              <w:spacing w:line="240" w:lineRule="exact"/>
              <w:ind w:right="-74"/>
              <w:jc w:val="right"/>
              <w:rPr>
                <w:rFonts w:ascii="Times New Roman" w:hAnsi="Times New Roman"/>
                <w:color w:val="000000"/>
                <w:sz w:val="28"/>
              </w:rPr>
            </w:pPr>
            <w:r>
              <w:rPr>
                <w:rFonts w:ascii="Times New Roman" w:hAnsi="Times New Roman"/>
                <w:color w:val="000000"/>
                <w:sz w:val="28"/>
              </w:rPr>
              <w:t>В.Д. Хренников</w:t>
            </w:r>
          </w:p>
        </w:tc>
      </w:tr>
    </w:tbl>
    <w:p w14:paraId="78000000">
      <w:pPr>
        <w:widowControl w:val="1"/>
        <w:spacing w:after="0" w:line="240" w:lineRule="auto"/>
        <w:ind/>
        <w:rPr>
          <w:rFonts w:ascii="Times New Roman" w:hAnsi="Times New Roman"/>
          <w:color w:val="000000"/>
          <w:sz w:val="28"/>
        </w:rPr>
      </w:pPr>
    </w:p>
    <w:p w14:paraId="79000000">
      <w:pPr>
        <w:widowControl w:val="1"/>
        <w:tabs>
          <w:tab w:leader="none" w:pos="1985" w:val="left"/>
          <w:tab w:leader="none" w:pos="2268" w:val="left"/>
          <w:tab w:leader="none" w:pos="6804" w:val="left"/>
        </w:tabs>
        <w:spacing w:after="0" w:line="240" w:lineRule="auto"/>
        <w:ind w:left="1276"/>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bookmarkStart w:id="4" w:name="SIGNERSTAMP1"/>
      <w:r>
        <w:rPr>
          <w:rFonts w:ascii="Times New Roman" w:hAnsi="Times New Roman"/>
          <w:color w:val="000000"/>
          <w:sz w:val="24"/>
        </w:rPr>
        <w:t>эл. Подписи</w:t>
      </w:r>
      <w:bookmarkEnd w:id="4"/>
      <w:r>
        <w:rPr>
          <w:rFonts w:ascii="Times New Roman" w:hAnsi="Times New Roman"/>
          <w:color w:val="000000"/>
          <w:sz w:val="24"/>
        </w:rPr>
        <w:t xml:space="preserve"> </w:t>
      </w:r>
      <w:r>
        <w:rPr>
          <w:rFonts w:ascii="Times New Roman" w:hAnsi="Times New Roman"/>
          <w:color w:val="000000"/>
          <w:sz w:val="24"/>
        </w:rPr>
        <w:t>штамп</w:t>
      </w:r>
    </w:p>
    <w:p w14:paraId="7A000000">
      <w:pPr>
        <w:widowControl w:val="1"/>
        <w:tabs>
          <w:tab w:leader="none" w:pos="1985" w:val="left"/>
          <w:tab w:leader="none" w:pos="2268" w:val="left"/>
          <w:tab w:leader="none" w:pos="6804" w:val="left"/>
        </w:tabs>
        <w:spacing w:after="0" w:line="240" w:lineRule="auto"/>
        <w:ind/>
        <w:rPr>
          <w:rFonts w:ascii="Times New Roman" w:hAnsi="Times New Roman"/>
          <w:color w:val="000000"/>
          <w:sz w:val="24"/>
        </w:rPr>
      </w:pPr>
    </w:p>
    <w:p w14:paraId="7B000000">
      <w:pPr>
        <w:widowControl w:val="1"/>
        <w:tabs>
          <w:tab w:leader="none" w:pos="1985" w:val="left"/>
          <w:tab w:leader="none" w:pos="2268" w:val="left"/>
          <w:tab w:leader="none" w:pos="6804" w:val="left"/>
        </w:tabs>
        <w:spacing w:after="0" w:line="240" w:lineRule="auto"/>
        <w:ind/>
        <w:rPr>
          <w:rFonts w:ascii="Times New Roman" w:hAnsi="Times New Roman"/>
          <w:color w:val="000000"/>
          <w:sz w:val="24"/>
        </w:rPr>
      </w:pPr>
      <w:bookmarkStart w:id="5" w:name="_GoBack"/>
      <w:bookmarkEnd w:id="5"/>
    </w:p>
    <w:p w14:paraId="7C000000">
      <w:pPr>
        <w:rPr>
          <w:rFonts w:ascii="Times New Roman" w:hAnsi="Times New Roman"/>
          <w:color w:val="000000"/>
          <w:sz w:val="28"/>
        </w:rPr>
      </w:pPr>
    </w:p>
    <w:p w14:paraId="7D000000">
      <w:pPr>
        <w:rPr>
          <w:rFonts w:ascii="Times New Roman" w:hAnsi="Times New Roman"/>
          <w:color w:val="000000"/>
          <w:sz w:val="28"/>
        </w:rPr>
      </w:pPr>
    </w:p>
    <w:p w14:paraId="7E000000">
      <w:pPr>
        <w:rPr>
          <w:rFonts w:ascii="Times New Roman" w:hAnsi="Times New Roman"/>
          <w:color w:val="000000"/>
          <w:sz w:val="28"/>
        </w:rPr>
      </w:pPr>
    </w:p>
    <w:p w14:paraId="7F000000">
      <w:pPr>
        <w:rPr>
          <w:rFonts w:ascii="Times New Roman" w:hAnsi="Times New Roman"/>
          <w:color w:val="000000"/>
          <w:sz w:val="28"/>
        </w:rPr>
      </w:pPr>
    </w:p>
    <w:p w14:paraId="80000000">
      <w:pPr>
        <w:rPr>
          <w:rFonts w:ascii="Times New Roman" w:hAnsi="Times New Roman"/>
          <w:color w:val="000000"/>
          <w:sz w:val="28"/>
        </w:rPr>
      </w:pPr>
    </w:p>
    <w:p w14:paraId="81000000">
      <w:pPr>
        <w:rPr>
          <w:rFonts w:ascii="Times New Roman" w:hAnsi="Times New Roman"/>
          <w:color w:val="000000"/>
          <w:sz w:val="28"/>
        </w:rPr>
      </w:pPr>
    </w:p>
    <w:p w14:paraId="82000000">
      <w:pPr>
        <w:rPr>
          <w:rFonts w:ascii="Times New Roman" w:hAnsi="Times New Roman"/>
          <w:color w:val="000000"/>
          <w:sz w:val="28"/>
        </w:rPr>
      </w:pPr>
    </w:p>
    <w:p w14:paraId="83000000">
      <w:pPr>
        <w:rPr>
          <w:rFonts w:ascii="Times New Roman" w:hAnsi="Times New Roman"/>
          <w:color w:val="000000"/>
          <w:sz w:val="28"/>
        </w:rPr>
      </w:pPr>
      <w:r>
        <w:rPr>
          <w:rFonts w:ascii="Times New Roman" w:hAnsi="Times New Roman"/>
          <w:color w:val="000000"/>
          <w:sz w:val="28"/>
        </w:rPr>
        <w:t>17.05</w:t>
      </w:r>
      <w:r>
        <w:rPr>
          <w:rFonts w:ascii="Times New Roman" w:hAnsi="Times New Roman"/>
          <w:color w:val="000000"/>
          <w:sz w:val="28"/>
        </w:rPr>
        <w:t>.2025</w:t>
      </w:r>
    </w:p>
    <w:sectPr>
      <w:headerReference r:id="rId2" w:type="default"/>
      <w:footerReference r:id="rId1" w:type="first"/>
      <w:pgSz w:h="16838" w:orient="portrait" w:w="11906"/>
      <w:pgMar w:bottom="1134" w:footer="709" w:gutter="0" w:header="709" w:left="1701" w:right="566"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pPr w:horzAnchor="margin" w:tblpXSpec="right" w:tblpYSpec="outside" w:vertAnchor="page"/>
      <w:tblW w:type="auto" w:w="0"/>
      <w:tblBorders>
        <w:top w:color="000000" w:sz="12" w:val="single"/>
        <w:left w:color="000000" w:sz="12" w:val="single"/>
        <w:bottom w:color="000000" w:sz="12" w:val="single"/>
        <w:right w:color="000000" w:sz="12" w:val="single"/>
      </w:tblBorders>
      <w:tblLayout w:type="fixed"/>
      <w:tblCellMar>
        <w:top w:type="dxa" w:w="28"/>
        <w:left w:type="dxa" w:w="28"/>
        <w:bottom w:type="dxa" w:w="28"/>
        <w:right w:type="dxa" w:w="28"/>
      </w:tblCellMar>
    </w:tblPr>
    <w:tblGrid>
      <w:gridCol w:w="2962"/>
    </w:tblGrid>
    <w:tr>
      <w:trPr>
        <w:trHeight w:hRule="atLeast" w:val="57"/>
      </w:trPr>
      <w:tc>
        <w:tcPr>
          <w:tcW w:type="dxa" w:w="2962"/>
          <w:tcBorders>
            <w:top w:color="000000" w:sz="12" w:val="single"/>
            <w:left w:color="000000" w:sz="12" w:val="single"/>
            <w:bottom w:color="000000" w:sz="12" w:val="single"/>
            <w:right w:color="000000" w:sz="12" w:val="single"/>
          </w:tcBorders>
          <w:tcMar>
            <w:top w:type="dxa" w:w="28"/>
            <w:left w:type="dxa" w:w="28"/>
            <w:bottom w:type="dxa" w:w="28"/>
            <w:right w:type="dxa" w:w="28"/>
          </w:tcMar>
        </w:tcPr>
        <w:p w14:paraId="01000000">
          <w:pPr>
            <w:widowControl w:val="1"/>
            <w:spacing w:after="60" w:line="240" w:lineRule="auto"/>
            <w:ind/>
            <w:jc w:val="center"/>
            <w:rPr>
              <w:rFonts w:ascii="Times New Roman" w:hAnsi="Times New Roman"/>
              <w:sz w:val="16"/>
            </w:rPr>
          </w:pPr>
          <w:bookmarkStart w:id="1" w:name="SIGNERORG1"/>
          <w:bookmarkEnd w:id="1"/>
        </w:p>
        <w:p w14:paraId="02000000">
          <w:pPr>
            <w:widowControl w:val="1"/>
            <w:tabs>
              <w:tab w:leader="none" w:pos="413" w:val="left"/>
            </w:tabs>
            <w:spacing w:after="60" w:line="240" w:lineRule="auto"/>
            <w:ind/>
            <w:rPr>
              <w:rFonts w:ascii="Times New Roman" w:hAnsi="Times New Roman"/>
              <w:sz w:val="16"/>
            </w:rPr>
          </w:pPr>
          <w:r>
            <w:rPr>
              <w:rFonts w:ascii="Times New Roman" w:hAnsi="Times New Roman"/>
              <w:sz w:val="16"/>
            </w:rPr>
            <w:t xml:space="preserve"> </w:t>
          </w:r>
          <w:r>
            <w:rPr>
              <w:rFonts w:ascii="Times New Roman" w:hAnsi="Times New Roman"/>
              <w:sz w:val="16"/>
            </w:rPr>
            <w:t xml:space="preserve">№ </w:t>
          </w:r>
          <w:bookmarkStart w:id="2" w:name="REGNUMSTAMP"/>
          <w:bookmarkEnd w:id="2"/>
        </w:p>
      </w:tc>
    </w:tr>
  </w:tbl>
  <w:p w14:paraId="03000000">
    <w:pPr>
      <w:pStyle w:val="Style_2"/>
      <w:widowControl w:val="1"/>
      <w:spacing w:after="60"/>
      <w:ind/>
    </w:pPr>
  </w:p>
</w:ft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3"/>
      <w:widowControl w:val="1"/>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p w14:paraId="05000000">
    <w:pPr>
      <w:pStyle w:val="Style_3"/>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160" w:before="0" w:line="259"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6" w:type="paragraph">
    <w:name w:val="Normal (Web)"/>
    <w:basedOn w:val="Style_4"/>
    <w:link w:val="Style_6_ch"/>
    <w:pPr>
      <w:widowControl w:val="1"/>
      <w:spacing w:afterAutospacing="on" w:beforeAutospacing="on" w:line="240" w:lineRule="auto"/>
      <w:ind/>
    </w:pPr>
    <w:rPr>
      <w:rFonts w:ascii="Times New Roman" w:hAnsi="Times New Roman"/>
      <w:sz w:val="24"/>
    </w:rPr>
  </w:style>
  <w:style w:styleId="Style_6_ch" w:type="character">
    <w:name w:val="Normal (Web)"/>
    <w:basedOn w:val="Style_4_ch"/>
    <w:link w:val="Style_6"/>
    <w:rPr>
      <w:rFonts w:ascii="Times New Roman" w:hAnsi="Times New Roman"/>
      <w:sz w:val="24"/>
    </w:rPr>
  </w:style>
  <w:style w:styleId="Style_7" w:type="paragraph">
    <w:name w:val="toc 2"/>
    <w:next w:val="Style_4"/>
    <w:link w:val="Style_7_ch"/>
    <w:uiPriority w:val="39"/>
    <w:pPr>
      <w:widowControl w:val="1"/>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4"/>
    <w:link w:val="Style_8_ch"/>
    <w:uiPriority w:val="39"/>
    <w:pPr>
      <w:widowControl w:val="1"/>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4"/>
    <w:link w:val="Style_9_ch"/>
    <w:uiPriority w:val="39"/>
    <w:pPr>
      <w:widowControl w:val="1"/>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4"/>
    <w:link w:val="Style_10_ch"/>
    <w:uiPriority w:val="39"/>
    <w:pPr>
      <w:widowControl w:val="1"/>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Основной текст1"/>
    <w:basedOn w:val="Style_4"/>
    <w:link w:val="Style_11_ch"/>
    <w:pPr>
      <w:widowControl w:val="1"/>
      <w:spacing w:after="0" w:line="322" w:lineRule="exact"/>
      <w:ind/>
      <w:jc w:val="both"/>
    </w:pPr>
    <w:rPr>
      <w:rFonts w:ascii="Times New Roman" w:hAnsi="Times New Roman"/>
      <w:sz w:val="27"/>
    </w:rPr>
  </w:style>
  <w:style w:styleId="Style_11_ch" w:type="character">
    <w:name w:val="Основной текст1"/>
    <w:basedOn w:val="Style_4_ch"/>
    <w:link w:val="Style_11"/>
    <w:rPr>
      <w:rFonts w:ascii="Times New Roman" w:hAnsi="Times New Roman"/>
      <w:sz w:val="27"/>
    </w:rPr>
  </w:style>
  <w:style w:styleId="Style_12" w:type="paragraph">
    <w:name w:val="Endnote"/>
    <w:link w:val="Style_12_ch"/>
    <w:pPr>
      <w:widowControl w:val="1"/>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4"/>
    <w:link w:val="Style_13_ch"/>
    <w:uiPriority w:val="9"/>
    <w:qFormat/>
    <w:pPr>
      <w:widowControl w:val="1"/>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toc 3"/>
    <w:next w:val="Style_4"/>
    <w:link w:val="Style_14_ch"/>
    <w:uiPriority w:val="39"/>
    <w:pPr>
      <w:widowControl w:val="1"/>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Balloon Text"/>
    <w:basedOn w:val="Style_4"/>
    <w:link w:val="Style_15_ch"/>
    <w:pPr>
      <w:widowControl w:val="1"/>
      <w:spacing w:after="0" w:line="240" w:lineRule="auto"/>
      <w:ind/>
    </w:pPr>
    <w:rPr>
      <w:rFonts w:ascii="Segoe UI" w:hAnsi="Segoe UI"/>
      <w:sz w:val="18"/>
    </w:rPr>
  </w:style>
  <w:style w:styleId="Style_15_ch" w:type="character">
    <w:name w:val="Balloon Text"/>
    <w:basedOn w:val="Style_4_ch"/>
    <w:link w:val="Style_15"/>
    <w:rPr>
      <w:rFonts w:ascii="Segoe UI" w:hAnsi="Segoe UI"/>
      <w:sz w:val="18"/>
    </w:rPr>
  </w:style>
  <w:style w:styleId="Style_16" w:type="paragraph">
    <w:name w:val="Default Paragraph Font"/>
    <w:link w:val="Style_16_ch"/>
  </w:style>
  <w:style w:styleId="Style_16_ch" w:type="character">
    <w:name w:val="Default Paragraph Font"/>
    <w:link w:val="Style_16"/>
  </w:style>
  <w:style w:styleId="Style_17" w:type="paragraph">
    <w:name w:val="heading 5"/>
    <w:next w:val="Style_4"/>
    <w:link w:val="Style_17_ch"/>
    <w:uiPriority w:val="9"/>
    <w:qFormat/>
    <w:pPr>
      <w:widowControl w:val="1"/>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next w:val="Style_4"/>
    <w:link w:val="Style_18_ch"/>
    <w:uiPriority w:val="9"/>
    <w:qFormat/>
    <w:pPr>
      <w:widowControl w:val="1"/>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2" w:type="paragraph">
    <w:name w:val="footer"/>
    <w:basedOn w:val="Style_4"/>
    <w:link w:val="Style_2_ch"/>
    <w:pPr>
      <w:widowControl w:val="1"/>
      <w:tabs>
        <w:tab w:leader="none" w:pos="4677" w:val="center"/>
        <w:tab w:leader="none" w:pos="9355" w:val="right"/>
      </w:tabs>
      <w:spacing w:after="0" w:line="240" w:lineRule="auto"/>
      <w:ind/>
    </w:pPr>
  </w:style>
  <w:style w:styleId="Style_2_ch" w:type="character">
    <w:name w:val="footer"/>
    <w:basedOn w:val="Style_4_ch"/>
    <w:link w:val="Style_2"/>
  </w:style>
  <w:style w:styleId="Style_19" w:type="paragraph">
    <w:name w:val="List Paragraph"/>
    <w:basedOn w:val="Style_4"/>
    <w:link w:val="Style_19_ch"/>
    <w:pPr>
      <w:widowControl w:val="1"/>
      <w:ind w:left="720"/>
      <w:contextualSpacing w:val="1"/>
    </w:pPr>
  </w:style>
  <w:style w:styleId="Style_19_ch" w:type="character">
    <w:name w:val="List Paragraph"/>
    <w:basedOn w:val="Style_4_ch"/>
    <w:link w:val="Style_19"/>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widowControl w:val="1"/>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4"/>
    <w:link w:val="Style_22_ch"/>
    <w:uiPriority w:val="39"/>
    <w:pPr>
      <w:widowControl w:val="1"/>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widowControl w:val="1"/>
      <w:spacing w:line="240" w:lineRule="auto"/>
      <w:ind/>
      <w:jc w:val="both"/>
    </w:pPr>
    <w:rPr>
      <w:rFonts w:ascii="XO Thames" w:hAnsi="XO Thames"/>
      <w:sz w:val="28"/>
    </w:rPr>
  </w:style>
  <w:style w:styleId="Style_23_ch" w:type="character">
    <w:name w:val="Header and Footer"/>
    <w:link w:val="Style_23"/>
    <w:rPr>
      <w:rFonts w:ascii="XO Thames" w:hAnsi="XO Thames"/>
      <w:sz w:val="28"/>
    </w:rPr>
  </w:style>
  <w:style w:styleId="Style_24" w:type="paragraph">
    <w:name w:val="toc 9"/>
    <w:next w:val="Style_4"/>
    <w:link w:val="Style_24_ch"/>
    <w:uiPriority w:val="39"/>
    <w:pPr>
      <w:widowControl w:val="1"/>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4"/>
    <w:link w:val="Style_25_ch"/>
    <w:uiPriority w:val="39"/>
    <w:pPr>
      <w:widowControl w:val="1"/>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Основной текст + 13 pt"/>
    <w:basedOn w:val="Style_11"/>
    <w:link w:val="Style_26_ch"/>
    <w:rPr>
      <w:rFonts w:ascii="Times New Roman" w:hAnsi="Times New Roman"/>
      <w:b w:val="0"/>
      <w:i w:val="0"/>
      <w:smallCaps w:val="0"/>
      <w:strike w:val="0"/>
      <w:spacing w:val="0"/>
      <w:sz w:val="26"/>
      <w:highlight w:val="white"/>
    </w:rPr>
  </w:style>
  <w:style w:styleId="Style_26_ch" w:type="character">
    <w:name w:val="Основной текст + 13 pt"/>
    <w:basedOn w:val="Style_11_ch"/>
    <w:link w:val="Style_26"/>
    <w:rPr>
      <w:rFonts w:ascii="Times New Roman" w:hAnsi="Times New Roman"/>
      <w:b w:val="0"/>
      <w:i w:val="0"/>
      <w:smallCaps w:val="0"/>
      <w:strike w:val="0"/>
      <w:spacing w:val="0"/>
      <w:sz w:val="26"/>
      <w:highlight w:val="white"/>
    </w:rPr>
  </w:style>
  <w:style w:styleId="Style_27" w:type="paragraph">
    <w:name w:val="toc 5"/>
    <w:next w:val="Style_4"/>
    <w:link w:val="Style_27_ch"/>
    <w:uiPriority w:val="39"/>
    <w:pPr>
      <w:widowControl w:val="1"/>
      <w:ind w:firstLine="0" w:left="800"/>
      <w:jc w:val="left"/>
    </w:pPr>
    <w:rPr>
      <w:rFonts w:ascii="XO Thames" w:hAnsi="XO Thames"/>
      <w:sz w:val="28"/>
    </w:rPr>
  </w:style>
  <w:style w:styleId="Style_27_ch" w:type="character">
    <w:name w:val="toc 5"/>
    <w:link w:val="Style_27"/>
    <w:rPr>
      <w:rFonts w:ascii="XO Thames" w:hAnsi="XO Thames"/>
      <w:sz w:val="28"/>
    </w:rPr>
  </w:style>
  <w:style w:styleId="Style_3" w:type="paragraph">
    <w:name w:val="header"/>
    <w:basedOn w:val="Style_4"/>
    <w:link w:val="Style_3_ch"/>
    <w:pPr>
      <w:widowControl w:val="1"/>
      <w:tabs>
        <w:tab w:leader="none" w:pos="4677" w:val="center"/>
        <w:tab w:leader="none" w:pos="9355" w:val="right"/>
      </w:tabs>
      <w:spacing w:after="0" w:line="240" w:lineRule="auto"/>
      <w:ind/>
    </w:pPr>
  </w:style>
  <w:style w:styleId="Style_3_ch" w:type="character">
    <w:name w:val="header"/>
    <w:basedOn w:val="Style_4_ch"/>
    <w:link w:val="Style_3"/>
  </w:style>
  <w:style w:styleId="Style_28" w:type="paragraph">
    <w:name w:val="Subtitle"/>
    <w:next w:val="Style_4"/>
    <w:link w:val="Style_28_ch"/>
    <w:uiPriority w:val="11"/>
    <w:qFormat/>
    <w:pPr>
      <w:widowControl w:val="1"/>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4"/>
    <w:link w:val="Style_29_ch"/>
    <w:uiPriority w:val="10"/>
    <w:qFormat/>
    <w:pPr>
      <w:widowControl w:val="1"/>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4"/>
    <w:link w:val="Style_30_ch"/>
    <w:uiPriority w:val="9"/>
    <w:qFormat/>
    <w:pPr>
      <w:widowControl w:val="1"/>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4"/>
    <w:link w:val="Style_31_ch"/>
    <w:uiPriority w:val="9"/>
    <w:qFormat/>
    <w:pPr>
      <w:widowControl w:val="1"/>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styleId="Style_5" w:type="table">
    <w:name w:val="Table Grid"/>
    <w:basedOn w:val="Style_1"/>
    <w:pPr>
      <w:widowControl w:val="1"/>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footer1.xml" Type="http://schemas.openxmlformats.org/officeDocument/2006/relationships/foot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MyOffice-CoreFramework-Linux/36-1319.1058.9942.953.1@46b7dcda34ec2e7b641d33cb1d2b32a264be336a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2025-05-16T11:07:03Z</dcterms:created>
  <dcterms:modified xsi:type="dcterms:W3CDTF">2025-05-17T10:10:53Z</dcterms:modified>
</cp:coreProperties>
</file>